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21D74" w:rsidP="00561D38" w:rsidRDefault="00921D74" w14:paraId="5CCE5FAD" w14:textId="17D41284">
      <w:pPr>
        <w:jc w:val="center"/>
      </w:pPr>
    </w:p>
    <w:p w:rsidR="00C904E6" w:rsidP="00F330B7" w:rsidRDefault="00572D1B" w14:paraId="12ED5953" w14:textId="0F7030AC">
      <w:pPr>
        <w:jc w:val="center"/>
        <w:rPr>
          <w:rFonts w:ascii="Arial Narrow" w:hAnsi="Arial Narrow"/>
          <w:noProof/>
          <w:sz w:val="24"/>
          <w:szCs w:val="24"/>
        </w:rPr>
      </w:pPr>
      <w:r w:rsidRPr="00572D1B">
        <w:rPr>
          <w:noProof/>
        </w:rPr>
        <w:drawing>
          <wp:inline distT="0" distB="0" distL="0" distR="0" wp14:anchorId="5E07E3F7" wp14:editId="3F1DFDD2">
            <wp:extent cx="6858000" cy="1238885"/>
            <wp:effectExtent l="0" t="0" r="0" b="0"/>
            <wp:docPr id="20333813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08913" name=""/>
                    <pic:cNvPicPr/>
                  </pic:nvPicPr>
                  <pic:blipFill>
                    <a:blip r:embed="rId10"/>
                    <a:stretch>
                      <a:fillRect/>
                    </a:stretch>
                  </pic:blipFill>
                  <pic:spPr>
                    <a:xfrm>
                      <a:off x="0" y="0"/>
                      <a:ext cx="6858000" cy="1238885"/>
                    </a:xfrm>
                    <a:prstGeom prst="rect">
                      <a:avLst/>
                    </a:prstGeom>
                  </pic:spPr>
                </pic:pic>
              </a:graphicData>
            </a:graphic>
          </wp:inline>
        </w:drawing>
      </w:r>
    </w:p>
    <w:p w:rsidR="00C904E6" w:rsidP="00F330B7" w:rsidRDefault="00C904E6" w14:paraId="2FC1850B" w14:textId="648531D2">
      <w:pPr>
        <w:jc w:val="center"/>
        <w:rPr>
          <w:rFonts w:ascii="Arial Narrow" w:hAnsi="Arial Narrow"/>
          <w:noProof/>
          <w:sz w:val="24"/>
          <w:szCs w:val="24"/>
        </w:rPr>
      </w:pPr>
    </w:p>
    <w:p w:rsidR="00626B7C" w:rsidP="00F330B7" w:rsidRDefault="00626B7C" w14:paraId="00188345" w14:textId="77777777">
      <w:pPr>
        <w:jc w:val="center"/>
        <w:rPr>
          <w:rFonts w:ascii="Arial Narrow" w:hAnsi="Arial Narrow"/>
          <w:noProof/>
          <w:sz w:val="24"/>
          <w:szCs w:val="24"/>
        </w:rPr>
      </w:pPr>
    </w:p>
    <w:p w:rsidR="002C50F0" w:rsidP="00F330B7" w:rsidRDefault="002C50F0" w14:paraId="70F0E213" w14:textId="77777777">
      <w:pPr>
        <w:jc w:val="center"/>
        <w:rPr>
          <w:rFonts w:ascii="Arial Narrow" w:hAnsi="Arial Narrow"/>
          <w:noProof/>
          <w:sz w:val="24"/>
          <w:szCs w:val="24"/>
        </w:rPr>
      </w:pPr>
    </w:p>
    <w:p w:rsidRPr="00561D38" w:rsidR="00A22059" w:rsidP="00F330B7" w:rsidRDefault="002C50F0" w14:paraId="28832383" w14:textId="4295AA64">
      <w:pPr>
        <w:jc w:val="center"/>
        <w:rPr>
          <w:rFonts w:ascii="Arial Narrow" w:hAnsi="Arial Narrow"/>
          <w:noProof/>
          <w:sz w:val="24"/>
          <w:szCs w:val="24"/>
        </w:rPr>
      </w:pPr>
      <w:r w:rsidRPr="00626B7C">
        <w:rPr>
          <w:b/>
          <w:bCs/>
          <w:noProof/>
        </w:rPr>
        <w:drawing>
          <wp:anchor distT="0" distB="0" distL="114300" distR="114300" simplePos="0" relativeHeight="251658241" behindDoc="1" locked="0" layoutInCell="1" allowOverlap="1" wp14:anchorId="58C69E94" wp14:editId="02B6A50F">
            <wp:simplePos x="0" y="0"/>
            <wp:positionH relativeFrom="margin">
              <wp:posOffset>457200</wp:posOffset>
            </wp:positionH>
            <wp:positionV relativeFrom="paragraph">
              <wp:posOffset>259080</wp:posOffset>
            </wp:positionV>
            <wp:extent cx="5943600" cy="738505"/>
            <wp:effectExtent l="0" t="0" r="0" b="4445"/>
            <wp:wrapNone/>
            <wp:docPr id="520040320" name="Picture 1"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040320" name="Picture 1" descr="A blue and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738505"/>
                    </a:xfrm>
                    <a:prstGeom prst="rect">
                      <a:avLst/>
                    </a:prstGeom>
                  </pic:spPr>
                </pic:pic>
              </a:graphicData>
            </a:graphic>
            <wp14:sizeRelH relativeFrom="page">
              <wp14:pctWidth>0</wp14:pctWidth>
            </wp14:sizeRelH>
            <wp14:sizeRelV relativeFrom="page">
              <wp14:pctHeight>0</wp14:pctHeight>
            </wp14:sizeRelV>
          </wp:anchor>
        </w:drawing>
      </w:r>
      <w:r w:rsidRPr="00561D38" w:rsidR="00A22059">
        <w:rPr>
          <w:rFonts w:ascii="Arial Narrow" w:hAnsi="Arial Narrow"/>
          <w:noProof/>
          <w:sz w:val="24"/>
          <w:szCs w:val="24"/>
        </w:rPr>
        <w:t>Trusted by hundreds of platforms: Finch helps hundreds of platforms access payroll data securely.</w:t>
      </w:r>
    </w:p>
    <w:p w:rsidR="00C904E6" w:rsidP="00A22059" w:rsidRDefault="00C904E6" w14:paraId="4A5AD0E4" w14:textId="01D3DB05">
      <w:pPr>
        <w:jc w:val="center"/>
      </w:pPr>
    </w:p>
    <w:p w:rsidR="00C904E6" w:rsidP="00A22059" w:rsidRDefault="00C904E6" w14:paraId="1370CD22" w14:textId="6AC5D552">
      <w:pPr>
        <w:jc w:val="center"/>
      </w:pPr>
    </w:p>
    <w:p w:rsidRPr="00626B7C" w:rsidR="00C904E6" w:rsidP="00A22059" w:rsidRDefault="00C904E6" w14:paraId="117BB887" w14:textId="361198E3">
      <w:pPr>
        <w:jc w:val="center"/>
        <w:rPr>
          <w:b/>
          <w:bCs/>
        </w:rPr>
      </w:pPr>
    </w:p>
    <w:p w:rsidRPr="00626B7C" w:rsidR="00C904E6" w:rsidP="00A22059" w:rsidRDefault="00C904E6" w14:paraId="352CAE0C" w14:textId="4CB7CE92">
      <w:pPr>
        <w:jc w:val="center"/>
        <w:rPr>
          <w:b/>
          <w:bCs/>
        </w:rPr>
      </w:pPr>
    </w:p>
    <w:p w:rsidR="00C904E6" w:rsidP="00A22059" w:rsidRDefault="00C904E6" w14:paraId="27736648" w14:textId="231CDCFB">
      <w:pPr>
        <w:jc w:val="center"/>
      </w:pPr>
    </w:p>
    <w:p w:rsidR="00C904E6" w:rsidP="00A22059" w:rsidRDefault="00C904E6" w14:paraId="3AA7F806" w14:textId="15529D8A">
      <w:pPr>
        <w:jc w:val="center"/>
      </w:pPr>
    </w:p>
    <w:p w:rsidR="00A22059" w:rsidP="00A22059" w:rsidRDefault="00626B7C" w14:paraId="3057FE16" w14:textId="67D13303">
      <w:pPr>
        <w:jc w:val="center"/>
      </w:pPr>
      <w:r w:rsidRPr="00A22059">
        <w:rPr>
          <w:noProof/>
        </w:rPr>
        <w:drawing>
          <wp:anchor distT="0" distB="0" distL="114300" distR="114300" simplePos="0" relativeHeight="251658240" behindDoc="1" locked="0" layoutInCell="1" allowOverlap="1" wp14:anchorId="53FC16D7" wp14:editId="6B8C5C05">
            <wp:simplePos x="0" y="0"/>
            <wp:positionH relativeFrom="margin">
              <wp:align>center</wp:align>
            </wp:positionH>
            <wp:positionV relativeFrom="paragraph">
              <wp:posOffset>47625</wp:posOffset>
            </wp:positionV>
            <wp:extent cx="5687009" cy="3589361"/>
            <wp:effectExtent l="0" t="0" r="9525" b="0"/>
            <wp:wrapNone/>
            <wp:docPr id="536231687"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231687" name="Picture 1" descr="A screenshot of a web pag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87009" cy="3589361"/>
                    </a:xfrm>
                    <a:prstGeom prst="rect">
                      <a:avLst/>
                    </a:prstGeom>
                  </pic:spPr>
                </pic:pic>
              </a:graphicData>
            </a:graphic>
            <wp14:sizeRelH relativeFrom="page">
              <wp14:pctWidth>0</wp14:pctWidth>
            </wp14:sizeRelH>
            <wp14:sizeRelV relativeFrom="page">
              <wp14:pctHeight>0</wp14:pctHeight>
            </wp14:sizeRelV>
          </wp:anchor>
        </w:drawing>
      </w:r>
    </w:p>
    <w:p w:rsidR="00A22059" w:rsidP="00A22059" w:rsidRDefault="00A22059" w14:paraId="11C665F2" w14:textId="35BF0049">
      <w:pPr>
        <w:jc w:val="center"/>
      </w:pPr>
    </w:p>
    <w:p w:rsidR="00F330B7" w:rsidP="00A22059" w:rsidRDefault="00F330B7" w14:paraId="6DE19F4C" w14:textId="761408BD"/>
    <w:p w:rsidR="00F330B7" w:rsidP="00A22059" w:rsidRDefault="00F330B7" w14:paraId="093D7985" w14:textId="77777777"/>
    <w:p w:rsidR="00F330B7" w:rsidP="00A22059" w:rsidRDefault="00F330B7" w14:paraId="39061599" w14:textId="77777777"/>
    <w:p w:rsidR="00F330B7" w:rsidP="00A22059" w:rsidRDefault="00F330B7" w14:paraId="35D0DEB1" w14:textId="7D11DCA0"/>
    <w:p w:rsidR="00F330B7" w:rsidP="00A22059" w:rsidRDefault="00F330B7" w14:paraId="64A765BA" w14:textId="1D3D858E"/>
    <w:p w:rsidR="00F330B7" w:rsidP="00A22059" w:rsidRDefault="00F330B7" w14:paraId="7E8D9698" w14:textId="45171C1D"/>
    <w:p w:rsidR="00F330B7" w:rsidP="00A22059" w:rsidRDefault="00F330B7" w14:paraId="15CB6F31" w14:textId="6BA1258E"/>
    <w:p w:rsidR="00F330B7" w:rsidP="00A22059" w:rsidRDefault="00F330B7" w14:paraId="0DE48AF9" w14:textId="6E643847"/>
    <w:p w:rsidR="00F330B7" w:rsidP="00A22059" w:rsidRDefault="00F330B7" w14:paraId="7F6E0705" w14:textId="3888EB8B"/>
    <w:p w:rsidR="00F330B7" w:rsidRDefault="00F330B7" w14:paraId="7C4E62CC" w14:textId="4CA6348D">
      <w:r>
        <w:br w:type="page"/>
      </w:r>
    </w:p>
    <w:p w:rsidR="00561D38" w:rsidP="00574796" w:rsidRDefault="00574796" w14:paraId="422F5FA7" w14:textId="11BB6108">
      <w:pPr>
        <w:jc w:val="center"/>
        <w:rPr>
          <w:b/>
          <w:bCs/>
          <w:sz w:val="32"/>
          <w:szCs w:val="32"/>
        </w:rPr>
      </w:pPr>
      <w:r w:rsidRPr="00574796">
        <w:rPr>
          <w:b/>
          <w:bCs/>
          <w:sz w:val="32"/>
          <w:szCs w:val="32"/>
        </w:rPr>
        <w:t>NOVALINK FAQS</w:t>
      </w:r>
    </w:p>
    <w:p w:rsidR="59D2CC01" w:rsidP="59D2CC01" w:rsidRDefault="59D2CC01" w14:paraId="6627CB14" w14:textId="4E3523C2">
      <w:pPr>
        <w:jc w:val="center"/>
        <w:rPr>
          <w:b/>
          <w:bCs/>
          <w:sz w:val="32"/>
          <w:szCs w:val="32"/>
        </w:rPr>
      </w:pPr>
    </w:p>
    <w:p w:rsidRPr="0046030C" w:rsidR="00574796" w:rsidP="00574796" w:rsidRDefault="00574796" w14:paraId="4D3A7D42" w14:textId="02CE61A8">
      <w:pPr>
        <w:spacing w:beforeAutospacing="1" w:afterAutospacing="1" w:line="240" w:lineRule="auto"/>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b/>
          <w:bCs/>
          <w:i/>
          <w:iCs/>
          <w:color w:val="000000" w:themeColor="text1"/>
          <w:sz w:val="24"/>
          <w:szCs w:val="24"/>
        </w:rPr>
        <w:t>What Payroll Providers are Supported?</w:t>
      </w:r>
    </w:p>
    <w:p w:rsidRPr="0046030C" w:rsidR="00574796" w:rsidP="00574796" w:rsidRDefault="00574796" w14:paraId="57E42D68" w14:textId="064EB9C9">
      <w:pPr>
        <w:spacing w:afterAutospacing="1" w:line="240" w:lineRule="auto"/>
        <w:contextualSpacing/>
        <w:rPr>
          <w:rFonts w:ascii="Arial Narrow" w:hAnsi="Arial Narrow" w:eastAsia="Arial Narrow" w:cs="Arial Narrow"/>
          <w:color w:val="000000" w:themeColor="text1"/>
          <w:sz w:val="24"/>
          <w:szCs w:val="24"/>
        </w:rPr>
      </w:pPr>
      <w:r w:rsidRPr="32D9D042" w:rsidR="00574796">
        <w:rPr>
          <w:rFonts w:ascii="Arial Narrow" w:hAnsi="Arial Narrow" w:eastAsia="Arial Narrow" w:cs="Arial Narrow"/>
          <w:color w:val="000000" w:themeColor="text1" w:themeTint="FF" w:themeShade="FF"/>
          <w:sz w:val="24"/>
          <w:szCs w:val="24"/>
        </w:rPr>
        <w:t>Current payroll providers NovaLlink supports are listed below; however, we are continually adding new payroll providers to this list, so check with your Nova Account Manager to see if your payroll provider is supported.</w:t>
      </w:r>
    </w:p>
    <w:p w:rsidR="32D9D042" w:rsidP="32D9D042" w:rsidRDefault="32D9D042" w14:paraId="2076FBB7" w14:textId="04132B66">
      <w:pPr>
        <w:spacing w:afterAutospacing="on" w:line="240" w:lineRule="auto"/>
        <w:contextualSpacing/>
        <w:rPr>
          <w:rFonts w:ascii="Arial Narrow" w:hAnsi="Arial Narrow" w:eastAsia="Arial Narrow" w:cs="Arial Narrow"/>
          <w:color w:val="000000" w:themeColor="text1" w:themeTint="FF" w:themeShade="FF"/>
          <w:sz w:val="24"/>
          <w:szCs w:val="24"/>
        </w:rPr>
      </w:pPr>
    </w:p>
    <w:p w:rsidR="56782B62" w:rsidP="32D9D042" w:rsidRDefault="56782B62" w14:paraId="41EFFB65" w14:textId="4D971DA2">
      <w:pPr>
        <w:spacing w:afterAutospacing="on" w:line="240" w:lineRule="auto"/>
        <w:contextualSpacing/>
        <w:rPr>
          <w:rFonts w:ascii="Arial Narrow" w:hAnsi="Arial Narrow" w:eastAsia="Arial Narrow" w:cs="Arial Narrow"/>
          <w:color w:val="000000" w:themeColor="text1" w:themeTint="FF" w:themeShade="FF"/>
          <w:sz w:val="24"/>
          <w:szCs w:val="24"/>
        </w:rPr>
      </w:pPr>
      <w:r w:rsidRPr="537694D4" w:rsidR="56782B62">
        <w:rPr>
          <w:rFonts w:ascii="Arial Narrow" w:hAnsi="Arial Narrow" w:eastAsia="Arial Narrow" w:cs="Arial Narrow"/>
          <w:color w:val="000000" w:themeColor="text1" w:themeTint="FF" w:themeShade="FF"/>
          <w:sz w:val="24"/>
          <w:szCs w:val="24"/>
        </w:rPr>
        <w:t>Absolute Payroll</w:t>
      </w:r>
      <w:r>
        <w:tab/>
      </w:r>
      <w:r>
        <w:tab/>
      </w:r>
      <w:r>
        <w:tab/>
      </w:r>
      <w:r>
        <w:tab/>
      </w:r>
      <w:r>
        <w:tab/>
      </w:r>
      <w:r w:rsidRPr="537694D4" w:rsidR="56782B62">
        <w:rPr>
          <w:rFonts w:ascii="Arial Narrow" w:hAnsi="Arial Narrow" w:eastAsia="Arial Narrow" w:cs="Arial Narrow"/>
          <w:color w:val="000000" w:themeColor="text1" w:themeTint="FF" w:themeShade="FF"/>
          <w:sz w:val="24"/>
          <w:szCs w:val="24"/>
        </w:rPr>
        <w:t>Paycom</w:t>
      </w:r>
    </w:p>
    <w:p w:rsidR="56782B62" w:rsidP="32D9D042" w:rsidRDefault="56782B62" w14:paraId="01A6090B" w14:textId="48455670">
      <w:pPr>
        <w:spacing w:afterAutospacing="on" w:line="240" w:lineRule="auto"/>
        <w:contextualSpacing/>
        <w:rPr>
          <w:rFonts w:ascii="Arial Narrow" w:hAnsi="Arial Narrow" w:eastAsia="Arial Narrow" w:cs="Arial Narrow"/>
          <w:color w:val="000000" w:themeColor="text1" w:themeTint="FF" w:themeShade="FF"/>
          <w:sz w:val="24"/>
          <w:szCs w:val="24"/>
        </w:rPr>
      </w:pPr>
      <w:r w:rsidRPr="537694D4" w:rsidR="56782B62">
        <w:rPr>
          <w:rFonts w:ascii="Arial Narrow" w:hAnsi="Arial Narrow" w:eastAsia="Arial Narrow" w:cs="Arial Narrow"/>
          <w:color w:val="000000" w:themeColor="text1" w:themeTint="FF" w:themeShade="FF"/>
          <w:sz w:val="24"/>
          <w:szCs w:val="24"/>
        </w:rPr>
        <w:t>Accupay</w:t>
      </w:r>
      <w:r>
        <w:tab/>
      </w:r>
      <w:r>
        <w:tab/>
      </w:r>
      <w:r>
        <w:tab/>
      </w:r>
      <w:r>
        <w:tab/>
      </w:r>
      <w:r>
        <w:tab/>
      </w:r>
      <w:r w:rsidRPr="537694D4" w:rsidR="56782B62">
        <w:rPr>
          <w:rFonts w:ascii="Arial Narrow" w:hAnsi="Arial Narrow" w:eastAsia="Arial Narrow" w:cs="Arial Narrow"/>
          <w:color w:val="000000" w:themeColor="text1" w:themeTint="FF" w:themeShade="FF"/>
          <w:sz w:val="24"/>
          <w:szCs w:val="24"/>
        </w:rPr>
        <w:t>Paycor</w:t>
      </w:r>
    </w:p>
    <w:p w:rsidR="56782B62" w:rsidP="537694D4" w:rsidRDefault="56782B62" w14:paraId="0AB5F60F" w14:textId="6F657B45">
      <w:pPr>
        <w:pStyle w:val="Normal"/>
        <w:spacing w:afterAutospacing="on" w:line="240" w:lineRule="auto"/>
        <w:contextualSpacing/>
        <w:rPr>
          <w:rFonts w:ascii="Arial Narrow" w:hAnsi="Arial Narrow" w:eastAsia="Arial Narrow" w:cs="Arial Narrow"/>
          <w:color w:val="000000" w:themeColor="text1" w:themeTint="FF" w:themeShade="FF"/>
          <w:sz w:val="24"/>
          <w:szCs w:val="24"/>
        </w:rPr>
      </w:pPr>
      <w:r w:rsidRPr="537694D4" w:rsidR="56782B62">
        <w:rPr>
          <w:rFonts w:ascii="Arial Narrow" w:hAnsi="Arial Narrow" w:eastAsia="Arial Narrow" w:cs="Arial Narrow"/>
          <w:color w:val="000000" w:themeColor="text1" w:themeTint="FF" w:themeShade="FF"/>
          <w:sz w:val="24"/>
          <w:szCs w:val="24"/>
        </w:rPr>
        <w:t>Paylocity</w:t>
      </w:r>
      <w:r>
        <w:tab/>
      </w:r>
      <w:r>
        <w:tab/>
      </w:r>
      <w:r>
        <w:tab/>
      </w:r>
      <w:r>
        <w:tab/>
      </w:r>
      <w:r>
        <w:tab/>
      </w:r>
      <w:r w:rsidRPr="537694D4" w:rsidR="09C3EE47">
        <w:rPr>
          <w:rFonts w:ascii="Arial Narrow" w:hAnsi="Arial Narrow" w:eastAsia="Arial Narrow" w:cs="Arial Narrow"/>
          <w:color w:val="000000" w:themeColor="text1" w:themeTint="FF" w:themeShade="FF"/>
          <w:sz w:val="24"/>
          <w:szCs w:val="24"/>
        </w:rPr>
        <w:t>Paychex Flex</w:t>
      </w:r>
    </w:p>
    <w:p w:rsidR="56782B62" w:rsidP="32D9D042" w:rsidRDefault="56782B62" w14:paraId="7E385C4E" w14:textId="39EA9362">
      <w:pPr>
        <w:spacing w:afterAutospacing="on" w:line="240" w:lineRule="auto"/>
        <w:contextualSpacing/>
        <w:rPr>
          <w:rFonts w:ascii="Arial Narrow" w:hAnsi="Arial Narrow" w:eastAsia="Arial Narrow" w:cs="Arial Narrow"/>
          <w:color w:val="000000" w:themeColor="text1" w:themeTint="FF" w:themeShade="FF"/>
          <w:sz w:val="24"/>
          <w:szCs w:val="24"/>
        </w:rPr>
      </w:pPr>
      <w:r w:rsidRPr="32D9D042" w:rsidR="56782B62">
        <w:rPr>
          <w:rFonts w:ascii="Arial Narrow" w:hAnsi="Arial Narrow" w:eastAsia="Arial Narrow" w:cs="Arial Narrow"/>
          <w:color w:val="000000" w:themeColor="text1" w:themeTint="FF" w:themeShade="FF"/>
          <w:sz w:val="24"/>
          <w:szCs w:val="24"/>
        </w:rPr>
        <w:t>ADP-RUN</w:t>
      </w:r>
      <w:r>
        <w:tab/>
      </w:r>
      <w:r>
        <w:tab/>
      </w:r>
      <w:r>
        <w:tab/>
      </w:r>
      <w:r>
        <w:tab/>
      </w:r>
      <w:r>
        <w:tab/>
      </w:r>
      <w:r w:rsidRPr="32D9D042" w:rsidR="56782B62">
        <w:rPr>
          <w:rFonts w:ascii="Arial Narrow" w:hAnsi="Arial Narrow" w:eastAsia="Arial Narrow" w:cs="Arial Narrow"/>
          <w:color w:val="000000" w:themeColor="text1" w:themeTint="FF" w:themeShade="FF"/>
          <w:sz w:val="24"/>
          <w:szCs w:val="24"/>
        </w:rPr>
        <w:t>Quickbooks Online</w:t>
      </w:r>
    </w:p>
    <w:p w:rsidR="56782B62" w:rsidP="32D9D042" w:rsidRDefault="56782B62" w14:paraId="1096D832" w14:textId="0C2E94D9">
      <w:pPr>
        <w:spacing w:afterAutospacing="on" w:line="240" w:lineRule="auto"/>
        <w:contextualSpacing/>
        <w:rPr>
          <w:rFonts w:ascii="Arial Narrow" w:hAnsi="Arial Narrow" w:eastAsia="Arial Narrow" w:cs="Arial Narrow"/>
          <w:color w:val="000000" w:themeColor="text1" w:themeTint="FF" w:themeShade="FF"/>
          <w:sz w:val="24"/>
          <w:szCs w:val="24"/>
        </w:rPr>
      </w:pPr>
      <w:r w:rsidRPr="32D9D042" w:rsidR="56782B62">
        <w:rPr>
          <w:rFonts w:ascii="Arial Narrow" w:hAnsi="Arial Narrow" w:eastAsia="Arial Narrow" w:cs="Arial Narrow"/>
          <w:color w:val="000000" w:themeColor="text1" w:themeTint="FF" w:themeShade="FF"/>
          <w:sz w:val="24"/>
          <w:szCs w:val="24"/>
        </w:rPr>
        <w:t>Gusto</w:t>
      </w:r>
      <w:r>
        <w:tab/>
      </w:r>
      <w:r>
        <w:tab/>
      </w:r>
      <w:r>
        <w:tab/>
      </w:r>
      <w:r>
        <w:tab/>
      </w:r>
      <w:r>
        <w:tab/>
      </w:r>
      <w:r>
        <w:tab/>
      </w:r>
      <w:r w:rsidRPr="32D9D042" w:rsidR="56782B62">
        <w:rPr>
          <w:rFonts w:ascii="Arial Narrow" w:hAnsi="Arial Narrow" w:eastAsia="Arial Narrow" w:cs="Arial Narrow"/>
          <w:color w:val="000000" w:themeColor="text1" w:themeTint="FF" w:themeShade="FF"/>
          <w:sz w:val="24"/>
          <w:szCs w:val="24"/>
        </w:rPr>
        <w:t>UKG</w:t>
      </w:r>
    </w:p>
    <w:p w:rsidR="56782B62" w:rsidP="32D9D042" w:rsidRDefault="56782B62" w14:paraId="4C0C8FC9" w14:textId="0939684D">
      <w:pPr>
        <w:spacing w:afterAutospacing="on" w:line="240" w:lineRule="auto"/>
        <w:contextualSpacing/>
        <w:rPr>
          <w:rFonts w:ascii="Arial Narrow" w:hAnsi="Arial Narrow" w:eastAsia="Arial Narrow" w:cs="Arial Narrow"/>
          <w:color w:val="000000" w:themeColor="text1" w:themeTint="FF" w:themeShade="FF"/>
          <w:sz w:val="24"/>
          <w:szCs w:val="24"/>
        </w:rPr>
      </w:pPr>
      <w:r w:rsidRPr="537694D4" w:rsidR="56782B62">
        <w:rPr>
          <w:rFonts w:ascii="Arial Narrow" w:hAnsi="Arial Narrow" w:eastAsia="Arial Narrow" w:cs="Arial Narrow"/>
          <w:color w:val="000000" w:themeColor="text1" w:themeTint="FF" w:themeShade="FF"/>
          <w:sz w:val="24"/>
          <w:szCs w:val="24"/>
        </w:rPr>
        <w:t>OnPay</w:t>
      </w:r>
      <w:r>
        <w:tab/>
      </w:r>
      <w:r>
        <w:tab/>
      </w:r>
      <w:r>
        <w:tab/>
      </w:r>
      <w:r>
        <w:tab/>
      </w:r>
      <w:r>
        <w:tab/>
      </w:r>
      <w:r>
        <w:tab/>
      </w:r>
      <w:r w:rsidRPr="537694D4" w:rsidR="56782B62">
        <w:rPr>
          <w:rFonts w:ascii="Arial Narrow" w:hAnsi="Arial Narrow" w:eastAsia="Arial Narrow" w:cs="Arial Narrow"/>
          <w:color w:val="000000" w:themeColor="text1" w:themeTint="FF" w:themeShade="FF"/>
          <w:sz w:val="24"/>
          <w:szCs w:val="24"/>
        </w:rPr>
        <w:t>Paychex</w:t>
      </w:r>
    </w:p>
    <w:p w:rsidR="00574796" w:rsidP="00574796" w:rsidRDefault="00574796" w14:paraId="575C3613" w14:textId="77777777">
      <w:pPr>
        <w:spacing w:afterAutospacing="1" w:line="240" w:lineRule="auto"/>
        <w:contextualSpacing/>
        <w:rPr>
          <w:rFonts w:ascii="Arial Narrow" w:hAnsi="Arial Narrow" w:eastAsia="Arial Narrow" w:cs="Arial Narrow"/>
          <w:color w:val="000000" w:themeColor="text1"/>
        </w:rPr>
      </w:pPr>
    </w:p>
    <w:p w:rsidR="48BFFB9C" w:rsidP="48BFFB9C" w:rsidRDefault="48BFFB9C" w14:paraId="3254C407" w14:textId="13AF50A5">
      <w:pPr>
        <w:spacing/>
        <w:contextualSpacing/>
        <w:rPr>
          <w:rFonts w:ascii="Arial Narrow" w:hAnsi="Arial Narrow" w:eastAsia="Arial Narrow" w:cs="Arial Narrow"/>
          <w:b w:val="1"/>
          <w:bCs w:val="1"/>
          <w:i w:val="1"/>
          <w:iCs w:val="1"/>
          <w:color w:val="000000" w:themeColor="text1" w:themeTint="FF" w:themeShade="FF"/>
          <w:sz w:val="24"/>
          <w:szCs w:val="24"/>
        </w:rPr>
      </w:pPr>
    </w:p>
    <w:p w:rsidRPr="0046030C" w:rsidR="00574796" w:rsidP="00574796" w:rsidRDefault="00574796" w14:paraId="7D42629F" w14:textId="1BF06008">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b/>
          <w:bCs/>
          <w:i/>
          <w:iCs/>
          <w:color w:val="000000" w:themeColor="text1"/>
          <w:sz w:val="24"/>
          <w:szCs w:val="24"/>
        </w:rPr>
        <w:t>What are the benefits of using NovaLink?</w:t>
      </w:r>
    </w:p>
    <w:p w:rsidRPr="0046030C" w:rsidR="00574796" w:rsidP="0750C133" w:rsidRDefault="00574796" w14:paraId="69441A0B" w14:textId="7C4234A3">
      <w:pPr>
        <w:contextualSpacing/>
        <w:rPr>
          <w:rFonts w:ascii="Arial Narrow" w:hAnsi="Arial Narrow" w:eastAsia="Arial Narrow" w:cs="Arial Narrow"/>
          <w:color w:val="000000" w:themeColor="text1"/>
          <w:sz w:val="24"/>
          <w:szCs w:val="24"/>
        </w:rPr>
      </w:pPr>
      <w:r w:rsidRPr="335AC063">
        <w:rPr>
          <w:rFonts w:ascii="Arial Narrow" w:hAnsi="Arial Narrow" w:eastAsia="Arial Narrow" w:cs="Arial Narrow"/>
          <w:color w:val="000000" w:themeColor="text1"/>
          <w:sz w:val="24"/>
          <w:szCs w:val="24"/>
        </w:rPr>
        <w:t>NovaLink was designed to save you time and effort in pulling your payroll reports and completing annual and/or intermittent census files required for plan testing.</w:t>
      </w:r>
    </w:p>
    <w:p w:rsidR="335AC063" w:rsidP="335AC063" w:rsidRDefault="335AC063" w14:paraId="55C768A0" w14:textId="6B9B2ED2">
      <w:pPr>
        <w:contextualSpacing/>
        <w:rPr>
          <w:rFonts w:ascii="Arial Narrow" w:hAnsi="Arial Narrow" w:eastAsia="Arial Narrow" w:cs="Arial Narrow"/>
          <w:b/>
          <w:bCs/>
          <w:i/>
          <w:iCs/>
          <w:color w:val="000000" w:themeColor="text1"/>
          <w:sz w:val="24"/>
          <w:szCs w:val="24"/>
        </w:rPr>
      </w:pPr>
    </w:p>
    <w:p w:rsidR="335AC063" w:rsidP="335AC063" w:rsidRDefault="335AC063" w14:paraId="3F936E9A" w14:textId="500E7223">
      <w:pPr>
        <w:contextualSpacing/>
        <w:rPr>
          <w:rFonts w:ascii="Arial Narrow" w:hAnsi="Arial Narrow" w:eastAsia="Arial Narrow" w:cs="Arial Narrow"/>
          <w:b/>
          <w:bCs/>
          <w:i/>
          <w:iCs/>
          <w:color w:val="000000" w:themeColor="text1"/>
          <w:sz w:val="24"/>
          <w:szCs w:val="24"/>
        </w:rPr>
      </w:pPr>
    </w:p>
    <w:p w:rsidR="524D6B76" w:rsidP="335AC063" w:rsidRDefault="524D6B76" w14:paraId="46630545" w14:textId="02679105">
      <w:pPr>
        <w:contextualSpacing/>
        <w:rPr>
          <w:rFonts w:ascii="Arial Narrow" w:hAnsi="Arial Narrow" w:eastAsia="Arial Narrow" w:cs="Arial Narrow"/>
          <w:b/>
          <w:bCs/>
          <w:i/>
          <w:iCs/>
          <w:color w:val="000000" w:themeColor="text1"/>
          <w:sz w:val="24"/>
          <w:szCs w:val="24"/>
        </w:rPr>
      </w:pPr>
      <w:r w:rsidRPr="335AC063">
        <w:rPr>
          <w:rFonts w:ascii="Arial Narrow" w:hAnsi="Arial Narrow" w:eastAsia="Arial Narrow" w:cs="Arial Narrow"/>
          <w:b/>
          <w:bCs/>
          <w:i/>
          <w:iCs/>
          <w:color w:val="000000" w:themeColor="text1"/>
          <w:sz w:val="24"/>
          <w:szCs w:val="24"/>
        </w:rPr>
        <w:t>I already use AFS for census collection, should I still sign up for NovaLink?</w:t>
      </w:r>
    </w:p>
    <w:p w:rsidR="524D6B76" w:rsidP="335AC063" w:rsidRDefault="524D6B76" w14:paraId="5E2FE8B5" w14:textId="574B7C5C">
      <w:pPr>
        <w:contextualSpacing/>
        <w:rPr>
          <w:rFonts w:ascii="Arial Narrow" w:hAnsi="Arial Narrow" w:eastAsia="Arial Narrow" w:cs="Arial Narrow"/>
          <w:color w:val="000000" w:themeColor="text1"/>
          <w:sz w:val="24"/>
          <w:szCs w:val="24"/>
        </w:rPr>
      </w:pPr>
      <w:r w:rsidRPr="335AC063">
        <w:rPr>
          <w:rFonts w:ascii="Arial Narrow" w:hAnsi="Arial Narrow" w:eastAsia="Arial Narrow" w:cs="Arial Narrow"/>
          <w:color w:val="000000" w:themeColor="text1"/>
          <w:sz w:val="24"/>
          <w:szCs w:val="24"/>
        </w:rPr>
        <w:t xml:space="preserve">Yes! </w:t>
      </w:r>
      <w:r w:rsidRPr="335AC063" w:rsidR="2F7797C1">
        <w:rPr>
          <w:rFonts w:ascii="Arial Narrow" w:hAnsi="Arial Narrow" w:eastAsia="Arial Narrow" w:cs="Arial Narrow"/>
          <w:color w:val="000000" w:themeColor="text1"/>
          <w:sz w:val="24"/>
          <w:szCs w:val="24"/>
        </w:rPr>
        <w:t xml:space="preserve">AFS charges for census completion </w:t>
      </w:r>
      <w:r w:rsidRPr="335AC063" w:rsidR="2F7797C1">
        <w:rPr>
          <w:rFonts w:ascii="Arial Narrow" w:hAnsi="Arial Narrow" w:eastAsia="Arial Narrow" w:cs="Arial Narrow"/>
          <w:i/>
          <w:iCs/>
          <w:color w:val="000000" w:themeColor="text1"/>
          <w:sz w:val="24"/>
          <w:szCs w:val="24"/>
        </w:rPr>
        <w:t>only after</w:t>
      </w:r>
      <w:r w:rsidRPr="335AC063" w:rsidR="2F7797C1">
        <w:rPr>
          <w:rFonts w:ascii="Arial Narrow" w:hAnsi="Arial Narrow" w:eastAsia="Arial Narrow" w:cs="Arial Narrow"/>
          <w:color w:val="000000" w:themeColor="text1"/>
          <w:sz w:val="24"/>
          <w:szCs w:val="24"/>
        </w:rPr>
        <w:t xml:space="preserve"> they pull your census data – if AFS does not complete your census, AFS does not charge for it. Also, </w:t>
      </w:r>
      <w:r w:rsidRPr="335AC063" w:rsidR="31FDB957">
        <w:rPr>
          <w:rFonts w:ascii="Arial Narrow" w:hAnsi="Arial Narrow" w:eastAsia="Arial Narrow" w:cs="Arial Narrow"/>
          <w:color w:val="000000" w:themeColor="text1"/>
          <w:sz w:val="24"/>
          <w:szCs w:val="24"/>
        </w:rPr>
        <w:t xml:space="preserve">due to the added security it provides, </w:t>
      </w:r>
      <w:r w:rsidRPr="335AC063">
        <w:rPr>
          <w:rFonts w:ascii="Arial Narrow" w:hAnsi="Arial Narrow" w:eastAsia="Arial Narrow" w:cs="Arial Narrow"/>
          <w:color w:val="000000" w:themeColor="text1"/>
          <w:sz w:val="24"/>
          <w:szCs w:val="24"/>
        </w:rPr>
        <w:t xml:space="preserve">AFS is also going to start using NovaLink to pull </w:t>
      </w:r>
      <w:r w:rsidRPr="335AC063" w:rsidR="2AB664E7">
        <w:rPr>
          <w:rFonts w:ascii="Arial Narrow" w:hAnsi="Arial Narrow" w:eastAsia="Arial Narrow" w:cs="Arial Narrow"/>
          <w:color w:val="000000" w:themeColor="text1"/>
          <w:sz w:val="24"/>
          <w:szCs w:val="24"/>
        </w:rPr>
        <w:t xml:space="preserve">your </w:t>
      </w:r>
      <w:r w:rsidRPr="335AC063">
        <w:rPr>
          <w:rFonts w:ascii="Arial Narrow" w:hAnsi="Arial Narrow" w:eastAsia="Arial Narrow" w:cs="Arial Narrow"/>
          <w:color w:val="000000" w:themeColor="text1"/>
          <w:sz w:val="24"/>
          <w:szCs w:val="24"/>
        </w:rPr>
        <w:t>census data, so if you don’t set it up now, you will need to set it up at some point in the near future.</w:t>
      </w:r>
      <w:r w:rsidRPr="335AC063" w:rsidR="79F56425">
        <w:rPr>
          <w:rFonts w:ascii="Arial Narrow" w:hAnsi="Arial Narrow" w:eastAsia="Arial Narrow" w:cs="Arial Narrow"/>
          <w:color w:val="000000" w:themeColor="text1"/>
          <w:sz w:val="24"/>
          <w:szCs w:val="24"/>
        </w:rPr>
        <w:t xml:space="preserve"> You will never be charged by both Nova and AFS for NovaLink.</w:t>
      </w:r>
    </w:p>
    <w:p w:rsidR="00606C00" w:rsidP="335AC063" w:rsidRDefault="00606C00" w14:paraId="6B4BB0CA" w14:textId="77777777">
      <w:pPr>
        <w:contextualSpacing/>
        <w:rPr>
          <w:rFonts w:ascii="Arial Narrow" w:hAnsi="Arial Narrow" w:eastAsia="Arial Narrow" w:cs="Arial Narrow"/>
          <w:b/>
          <w:bCs/>
          <w:i/>
          <w:iCs/>
          <w:color w:val="000000" w:themeColor="text1"/>
          <w:sz w:val="24"/>
          <w:szCs w:val="24"/>
        </w:rPr>
      </w:pPr>
    </w:p>
    <w:p w:rsidR="335AC063" w:rsidP="335AC063" w:rsidRDefault="335AC063" w14:paraId="741ED704" w14:textId="522F1704">
      <w:pPr>
        <w:contextualSpacing/>
        <w:rPr>
          <w:rFonts w:ascii="Arial Narrow" w:hAnsi="Arial Narrow" w:eastAsia="Arial Narrow" w:cs="Arial Narrow"/>
          <w:b/>
          <w:bCs/>
          <w:i/>
          <w:iCs/>
          <w:color w:val="000000" w:themeColor="text1"/>
          <w:sz w:val="24"/>
          <w:szCs w:val="24"/>
        </w:rPr>
      </w:pPr>
    </w:p>
    <w:p w:rsidRPr="0046030C" w:rsidR="00574796" w:rsidP="00574796" w:rsidRDefault="00574796" w14:paraId="6CFD8D7E" w14:textId="066BA954">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b/>
          <w:bCs/>
          <w:i/>
          <w:iCs/>
          <w:color w:val="000000" w:themeColor="text1"/>
          <w:sz w:val="24"/>
          <w:szCs w:val="24"/>
        </w:rPr>
        <w:t>What is the process to set up NovaLink?</w:t>
      </w:r>
    </w:p>
    <w:p w:rsidRPr="0046030C" w:rsidR="00574796" w:rsidP="00574796" w:rsidRDefault="00574796" w14:paraId="562A1A60" w14:textId="70810DFD">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NovaLink is designed to reduce the work necessary on your annual or other intermittent census data for plan testing. It will take a little bit of work on your part to set it up. The process generally takes clients less than 30 minutes from start to finish.</w:t>
      </w:r>
    </w:p>
    <w:p w:rsidRPr="0046030C" w:rsidR="00574796" w:rsidP="00574796" w:rsidRDefault="00574796" w14:paraId="2842BB9A" w14:textId="23DAF3E6">
      <w:pPr>
        <w:pStyle w:val="ListParagraph"/>
        <w:numPr>
          <w:ilvl w:val="0"/>
          <w:numId w:val="1"/>
        </w:numPr>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 xml:space="preserve">Click the Sign-Up Link and sign the NovaLink service </w:t>
      </w:r>
      <w:r w:rsidRPr="0046030C" w:rsidR="00343611">
        <w:rPr>
          <w:rFonts w:ascii="Arial Narrow" w:hAnsi="Arial Narrow" w:eastAsia="Arial Narrow" w:cs="Arial Narrow"/>
          <w:color w:val="000000" w:themeColor="text1"/>
          <w:sz w:val="24"/>
          <w:szCs w:val="24"/>
        </w:rPr>
        <w:t>agreement</w:t>
      </w:r>
      <w:r w:rsidR="00A916ED">
        <w:rPr>
          <w:rFonts w:ascii="Arial Narrow" w:hAnsi="Arial Narrow" w:eastAsia="Arial Narrow" w:cs="Arial Narrow"/>
          <w:color w:val="000000" w:themeColor="text1"/>
          <w:sz w:val="24"/>
          <w:szCs w:val="24"/>
        </w:rPr>
        <w:t>, if applicable</w:t>
      </w:r>
      <w:r w:rsidRPr="0046030C" w:rsidR="00343611">
        <w:rPr>
          <w:rFonts w:ascii="Arial Narrow" w:hAnsi="Arial Narrow" w:eastAsia="Arial Narrow" w:cs="Arial Narrow"/>
          <w:color w:val="000000" w:themeColor="text1"/>
          <w:sz w:val="24"/>
          <w:szCs w:val="24"/>
        </w:rPr>
        <w:t>.</w:t>
      </w:r>
    </w:p>
    <w:p w:rsidRPr="0046030C" w:rsidR="00574796" w:rsidP="00574796" w:rsidRDefault="00574796" w14:paraId="2323DDE9" w14:textId="3BFB35C4">
      <w:pPr>
        <w:pStyle w:val="ListParagraph"/>
        <w:numPr>
          <w:ilvl w:val="0"/>
          <w:numId w:val="1"/>
        </w:numPr>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 xml:space="preserve">Once Nova receives the signed agreement, the Super User you identified in the sign-up process will receive an email with an authorization link to authorize </w:t>
      </w:r>
      <w:r w:rsidRPr="00401CCB" w:rsidR="00401CCB">
        <w:rPr>
          <w:rFonts w:ascii="Arial Narrow" w:hAnsi="Arial Narrow" w:eastAsia="Arial Narrow" w:cs="Arial Narrow"/>
          <w:color w:val="000000" w:themeColor="text1"/>
          <w:sz w:val="24"/>
          <w:szCs w:val="24"/>
        </w:rPr>
        <w:t>the connection between your payroll company and Finch</w:t>
      </w:r>
      <w:r w:rsidRPr="0046030C">
        <w:rPr>
          <w:rFonts w:ascii="Arial Narrow" w:hAnsi="Arial Narrow" w:eastAsia="Arial Narrow" w:cs="Arial Narrow"/>
          <w:color w:val="000000" w:themeColor="text1"/>
          <w:sz w:val="24"/>
          <w:szCs w:val="24"/>
        </w:rPr>
        <w:t>.</w:t>
      </w:r>
    </w:p>
    <w:p w:rsidRPr="0046030C" w:rsidR="00574796" w:rsidP="00574796" w:rsidRDefault="00574796" w14:paraId="3204FAC1" w14:textId="72400A36">
      <w:pPr>
        <w:pStyle w:val="ListParagraph"/>
        <w:numPr>
          <w:ilvl w:val="0"/>
          <w:numId w:val="1"/>
        </w:numPr>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 xml:space="preserve">Once the authorization is complete, the Regular Payroll Contact you identified will receive an email with a link to complete the Paycode Mapping. </w:t>
      </w:r>
    </w:p>
    <w:p w:rsidRPr="0046030C" w:rsidR="00574796" w:rsidP="00574796" w:rsidRDefault="00574796" w14:paraId="0414800E" w14:textId="0724B606">
      <w:pPr>
        <w:pStyle w:val="ListParagraph"/>
        <w:numPr>
          <w:ilvl w:val="0"/>
          <w:numId w:val="1"/>
        </w:numPr>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Once Paycode Mapping is complete, the Regular Payroll Contact will receive a test census file to review. If there are any discrepancies, adjustments can be made as needed.</w:t>
      </w:r>
    </w:p>
    <w:p w:rsidR="00606C00" w:rsidP="00574796" w:rsidRDefault="00606C00" w14:paraId="508E65D4" w14:textId="77777777">
      <w:pPr>
        <w:contextualSpacing/>
        <w:rPr>
          <w:rFonts w:ascii="Arial Narrow" w:hAnsi="Arial Narrow" w:eastAsia="Arial Narrow" w:cs="Arial Narrow"/>
          <w:b/>
          <w:bCs/>
          <w:i/>
          <w:iCs/>
          <w:color w:val="000000" w:themeColor="text1"/>
          <w:sz w:val="24"/>
          <w:szCs w:val="24"/>
        </w:rPr>
      </w:pPr>
    </w:p>
    <w:p w:rsidRPr="0046030C" w:rsidR="00574796" w:rsidP="00574796" w:rsidRDefault="00574796" w14:paraId="21814692" w14:textId="51CA14D7">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b/>
          <w:bCs/>
          <w:i/>
          <w:iCs/>
          <w:color w:val="000000" w:themeColor="text1"/>
          <w:sz w:val="24"/>
          <w:szCs w:val="24"/>
        </w:rPr>
        <w:t>What is a Super User?</w:t>
      </w:r>
    </w:p>
    <w:p w:rsidRPr="0046030C" w:rsidR="00574796" w:rsidP="00574796" w:rsidRDefault="00574796" w14:paraId="777D0C54" w14:textId="52ED208C">
      <w:pPr>
        <w:spacing/>
        <w:contextualSpacing/>
        <w:rPr>
          <w:rFonts w:ascii="Arial Narrow" w:hAnsi="Arial Narrow" w:eastAsia="Arial Narrow" w:cs="Arial Narrow"/>
          <w:color w:val="000000" w:themeColor="text1"/>
          <w:sz w:val="24"/>
          <w:szCs w:val="24"/>
        </w:rPr>
      </w:pPr>
      <w:r w:rsidRPr="5D3815BA" w:rsidR="00574796">
        <w:rPr>
          <w:rFonts w:ascii="Arial Narrow" w:hAnsi="Arial Narrow" w:eastAsia="Arial Narrow" w:cs="Arial Narrow"/>
          <w:color w:val="000000" w:themeColor="text1" w:themeTint="FF" w:themeShade="FF"/>
          <w:sz w:val="24"/>
          <w:szCs w:val="24"/>
        </w:rPr>
        <w:t xml:space="preserve">This will be the person </w:t>
      </w:r>
      <w:r w:rsidRPr="5D3815BA" w:rsidR="5A0D481D">
        <w:rPr>
          <w:rFonts w:ascii="Arial Narrow" w:hAnsi="Arial Narrow" w:eastAsia="Arial Narrow" w:cs="Arial Narrow"/>
          <w:color w:val="000000" w:themeColor="text1" w:themeTint="FF" w:themeShade="FF"/>
          <w:sz w:val="24"/>
          <w:szCs w:val="24"/>
        </w:rPr>
        <w:t xml:space="preserve">at your company </w:t>
      </w:r>
      <w:r w:rsidRPr="5D3815BA" w:rsidR="00574796">
        <w:rPr>
          <w:rFonts w:ascii="Arial Narrow" w:hAnsi="Arial Narrow" w:eastAsia="Arial Narrow" w:cs="Arial Narrow"/>
          <w:color w:val="000000" w:themeColor="text1" w:themeTint="FF" w:themeShade="FF"/>
          <w:sz w:val="24"/>
          <w:szCs w:val="24"/>
        </w:rPr>
        <w:t xml:space="preserve">who controls access to your payroll system platform – the person </w:t>
      </w:r>
      <w:r w:rsidRPr="5D3815BA" w:rsidR="1EAB67EB">
        <w:rPr>
          <w:rFonts w:ascii="Arial Narrow" w:hAnsi="Arial Narrow" w:eastAsia="Arial Narrow" w:cs="Arial Narrow"/>
          <w:color w:val="000000" w:themeColor="text1" w:themeTint="FF" w:themeShade="FF"/>
          <w:sz w:val="24"/>
          <w:szCs w:val="24"/>
        </w:rPr>
        <w:t xml:space="preserve">at your </w:t>
      </w:r>
      <w:r w:rsidRPr="5D3815BA" w:rsidR="1EAB67EB">
        <w:rPr>
          <w:rFonts w:ascii="Arial Narrow" w:hAnsi="Arial Narrow" w:eastAsia="Arial Narrow" w:cs="Arial Narrow"/>
          <w:color w:val="000000" w:themeColor="text1" w:themeTint="FF" w:themeShade="FF"/>
          <w:sz w:val="24"/>
          <w:szCs w:val="24"/>
        </w:rPr>
        <w:t>company</w:t>
      </w:r>
      <w:r w:rsidRPr="5D3815BA" w:rsidR="1EAB67EB">
        <w:rPr>
          <w:rFonts w:ascii="Arial Narrow" w:hAnsi="Arial Narrow" w:eastAsia="Arial Narrow" w:cs="Arial Narrow"/>
          <w:color w:val="000000" w:themeColor="text1" w:themeTint="FF" w:themeShade="FF"/>
          <w:sz w:val="24"/>
          <w:szCs w:val="24"/>
        </w:rPr>
        <w:t xml:space="preserve"> </w:t>
      </w:r>
      <w:r w:rsidRPr="5D3815BA" w:rsidR="00574796">
        <w:rPr>
          <w:rFonts w:ascii="Arial Narrow" w:hAnsi="Arial Narrow" w:eastAsia="Arial Narrow" w:cs="Arial Narrow"/>
          <w:color w:val="000000" w:themeColor="text1" w:themeTint="FF" w:themeShade="FF"/>
          <w:sz w:val="24"/>
          <w:szCs w:val="24"/>
        </w:rPr>
        <w:t>who can add other users to your payroll provider’s system. This person will be noted in PlanSponsorLink under the Contact Role “</w:t>
      </w:r>
      <w:r w:rsidRPr="5D3815BA" w:rsidR="00574796">
        <w:rPr>
          <w:rFonts w:ascii="Arial Narrow" w:hAnsi="Arial Narrow" w:eastAsia="Arial Narrow" w:cs="Arial Narrow"/>
          <w:i w:val="1"/>
          <w:iCs w:val="1"/>
          <w:color w:val="000000" w:themeColor="text1" w:themeTint="FF" w:themeShade="FF"/>
          <w:sz w:val="24"/>
          <w:szCs w:val="24"/>
        </w:rPr>
        <w:t>NovaLink Super User</w:t>
      </w:r>
      <w:r w:rsidRPr="5D3815BA" w:rsidR="00574796">
        <w:rPr>
          <w:rFonts w:ascii="Arial Narrow" w:hAnsi="Arial Narrow" w:eastAsia="Arial Narrow" w:cs="Arial Narrow"/>
          <w:color w:val="000000" w:themeColor="text1" w:themeTint="FF" w:themeShade="FF"/>
          <w:sz w:val="24"/>
          <w:szCs w:val="24"/>
        </w:rPr>
        <w:t>.”</w:t>
      </w:r>
    </w:p>
    <w:p w:rsidRPr="0046030C" w:rsidR="00574796" w:rsidP="00574796" w:rsidRDefault="00574796" w14:paraId="134EE2B0" w14:textId="77777777">
      <w:pPr>
        <w:ind w:left="1440"/>
        <w:contextualSpacing/>
        <w:rPr>
          <w:rFonts w:ascii="Arial Narrow" w:hAnsi="Arial Narrow" w:eastAsia="Arial Narrow" w:cs="Arial Narrow"/>
          <w:color w:val="000000" w:themeColor="text1"/>
          <w:sz w:val="24"/>
          <w:szCs w:val="24"/>
        </w:rPr>
      </w:pPr>
    </w:p>
    <w:p w:rsidRPr="0046030C" w:rsidR="00574796" w:rsidP="00574796" w:rsidRDefault="00574796" w14:paraId="545B2A44" w14:textId="77777777">
      <w:pPr>
        <w:contextualSpacing/>
        <w:rPr>
          <w:rFonts w:ascii="Arial Narrow" w:hAnsi="Arial Narrow" w:eastAsia="Arial Narrow" w:cs="Arial Narrow"/>
          <w:color w:val="000000" w:themeColor="text1"/>
          <w:sz w:val="24"/>
          <w:szCs w:val="24"/>
        </w:rPr>
      </w:pPr>
    </w:p>
    <w:p w:rsidRPr="0046030C" w:rsidR="00574796" w:rsidP="00574796" w:rsidRDefault="00574796" w14:paraId="4871529C" w14:textId="0AE70C4A">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b/>
          <w:bCs/>
          <w:i/>
          <w:iCs/>
          <w:color w:val="000000" w:themeColor="text1"/>
          <w:sz w:val="24"/>
          <w:szCs w:val="24"/>
        </w:rPr>
        <w:t xml:space="preserve">What is </w:t>
      </w:r>
      <w:r w:rsidR="000B0452">
        <w:rPr>
          <w:rFonts w:ascii="Arial Narrow" w:hAnsi="Arial Narrow" w:eastAsia="Arial Narrow" w:cs="Arial Narrow"/>
          <w:b/>
          <w:bCs/>
          <w:i/>
          <w:iCs/>
          <w:color w:val="000000" w:themeColor="text1"/>
          <w:sz w:val="24"/>
          <w:szCs w:val="24"/>
        </w:rPr>
        <w:t>a</w:t>
      </w:r>
      <w:r w:rsidRPr="0046030C">
        <w:rPr>
          <w:rFonts w:ascii="Arial Narrow" w:hAnsi="Arial Narrow" w:eastAsia="Arial Narrow" w:cs="Arial Narrow"/>
          <w:b/>
          <w:bCs/>
          <w:i/>
          <w:iCs/>
          <w:color w:val="000000" w:themeColor="text1"/>
          <w:sz w:val="24"/>
          <w:szCs w:val="24"/>
        </w:rPr>
        <w:t xml:space="preserve"> Regular Payroll Contact?</w:t>
      </w:r>
    </w:p>
    <w:p w:rsidRPr="0046030C" w:rsidR="00574796" w:rsidP="00574796" w:rsidRDefault="00574796" w14:paraId="3E7B17B1" w14:textId="3308DE90">
      <w:pPr>
        <w:spacing/>
        <w:contextualSpacing/>
        <w:rPr>
          <w:rFonts w:ascii="Arial Narrow" w:hAnsi="Arial Narrow" w:eastAsia="Arial Narrow" w:cs="Arial Narrow"/>
          <w:color w:val="000000" w:themeColor="text1"/>
          <w:sz w:val="24"/>
          <w:szCs w:val="24"/>
        </w:rPr>
      </w:pPr>
      <w:r w:rsidRPr="5D3815BA" w:rsidR="00574796">
        <w:rPr>
          <w:rFonts w:ascii="Arial Narrow" w:hAnsi="Arial Narrow" w:eastAsia="Arial Narrow" w:cs="Arial Narrow"/>
          <w:color w:val="000000" w:themeColor="text1" w:themeTint="FF" w:themeShade="FF"/>
          <w:sz w:val="24"/>
          <w:szCs w:val="24"/>
        </w:rPr>
        <w:t xml:space="preserve">The person </w:t>
      </w:r>
      <w:r w:rsidRPr="5D3815BA" w:rsidR="086100EB">
        <w:rPr>
          <w:rFonts w:ascii="Arial Narrow" w:hAnsi="Arial Narrow" w:eastAsia="Arial Narrow" w:cs="Arial Narrow"/>
          <w:color w:val="000000" w:themeColor="text1" w:themeTint="FF" w:themeShade="FF"/>
          <w:sz w:val="24"/>
          <w:szCs w:val="24"/>
        </w:rPr>
        <w:t>at your company</w:t>
      </w:r>
      <w:r w:rsidRPr="5D3815BA" w:rsidR="00574796">
        <w:rPr>
          <w:rFonts w:ascii="Arial Narrow" w:hAnsi="Arial Narrow" w:eastAsia="Arial Narrow" w:cs="Arial Narrow"/>
          <w:color w:val="000000" w:themeColor="text1" w:themeTint="FF" w:themeShade="FF"/>
          <w:sz w:val="24"/>
          <w:szCs w:val="24"/>
        </w:rPr>
        <w:t xml:space="preserve"> </w:t>
      </w:r>
      <w:r w:rsidRPr="5D3815BA" w:rsidR="2390F07B">
        <w:rPr>
          <w:rFonts w:ascii="Arial Narrow" w:hAnsi="Arial Narrow" w:eastAsia="Arial Narrow" w:cs="Arial Narrow"/>
          <w:color w:val="000000" w:themeColor="text1" w:themeTint="FF" w:themeShade="FF"/>
          <w:sz w:val="24"/>
          <w:szCs w:val="24"/>
        </w:rPr>
        <w:t>who</w:t>
      </w:r>
      <w:r w:rsidRPr="5D3815BA" w:rsidR="2390F07B">
        <w:rPr>
          <w:rFonts w:ascii="Arial Narrow" w:hAnsi="Arial Narrow" w:eastAsia="Arial Narrow" w:cs="Arial Narrow"/>
          <w:color w:val="000000" w:themeColor="text1" w:themeTint="FF" w:themeShade="FF"/>
          <w:sz w:val="24"/>
          <w:szCs w:val="24"/>
        </w:rPr>
        <w:t xml:space="preserve"> </w:t>
      </w:r>
      <w:r w:rsidRPr="5D3815BA" w:rsidR="00574796">
        <w:rPr>
          <w:rFonts w:ascii="Arial Narrow" w:hAnsi="Arial Narrow" w:eastAsia="Arial Narrow" w:cs="Arial Narrow"/>
          <w:color w:val="000000" w:themeColor="text1" w:themeTint="FF" w:themeShade="FF"/>
          <w:sz w:val="24"/>
          <w:szCs w:val="24"/>
        </w:rPr>
        <w:t xml:space="preserve">processes the </w:t>
      </w:r>
      <w:r w:rsidRPr="5D3815BA" w:rsidR="00574796">
        <w:rPr>
          <w:rFonts w:ascii="Arial Narrow" w:hAnsi="Arial Narrow" w:eastAsia="Arial Narrow" w:cs="Arial Narrow"/>
          <w:color w:val="000000" w:themeColor="text1" w:themeTint="FF" w:themeShade="FF"/>
          <w:sz w:val="24"/>
          <w:szCs w:val="24"/>
        </w:rPr>
        <w:t>payroll and</w:t>
      </w:r>
      <w:r w:rsidRPr="5D3815BA" w:rsidR="00574796">
        <w:rPr>
          <w:rFonts w:ascii="Arial Narrow" w:hAnsi="Arial Narrow" w:eastAsia="Arial Narrow" w:cs="Arial Narrow"/>
          <w:color w:val="000000" w:themeColor="text1" w:themeTint="FF" w:themeShade="FF"/>
          <w:sz w:val="24"/>
          <w:szCs w:val="24"/>
        </w:rPr>
        <w:t xml:space="preserve"> can define the payroll codes for NovaLink setup. This person will be noted in PlanSponsorLink under the Contact Role “</w:t>
      </w:r>
      <w:r w:rsidRPr="5D3815BA" w:rsidR="00574796">
        <w:rPr>
          <w:rFonts w:ascii="Arial Narrow" w:hAnsi="Arial Narrow" w:eastAsia="Arial Narrow" w:cs="Arial Narrow"/>
          <w:i w:val="1"/>
          <w:iCs w:val="1"/>
          <w:color w:val="000000" w:themeColor="text1" w:themeTint="FF" w:themeShade="FF"/>
          <w:sz w:val="24"/>
          <w:szCs w:val="24"/>
        </w:rPr>
        <w:t>NovaLink Payroll Contact</w:t>
      </w:r>
      <w:r w:rsidRPr="5D3815BA" w:rsidR="00574796">
        <w:rPr>
          <w:rFonts w:ascii="Arial Narrow" w:hAnsi="Arial Narrow" w:eastAsia="Arial Narrow" w:cs="Arial Narrow"/>
          <w:color w:val="000000" w:themeColor="text1" w:themeTint="FF" w:themeShade="FF"/>
          <w:sz w:val="24"/>
          <w:szCs w:val="24"/>
        </w:rPr>
        <w:t>.”</w:t>
      </w:r>
    </w:p>
    <w:p w:rsidRPr="0046030C" w:rsidR="00574796" w:rsidP="00574796" w:rsidRDefault="00574796" w14:paraId="1348C628" w14:textId="77777777">
      <w:pPr>
        <w:ind w:left="1440"/>
        <w:contextualSpacing/>
        <w:rPr>
          <w:rFonts w:ascii="Arial Narrow" w:hAnsi="Arial Narrow" w:eastAsia="Arial Narrow" w:cs="Arial Narrow"/>
          <w:color w:val="000000" w:themeColor="text1"/>
          <w:sz w:val="24"/>
          <w:szCs w:val="24"/>
        </w:rPr>
      </w:pPr>
    </w:p>
    <w:p w:rsidRPr="0046030C" w:rsidR="00574796" w:rsidP="00574796" w:rsidRDefault="00574796" w14:paraId="69E6B2BD" w14:textId="77777777">
      <w:pPr>
        <w:contextualSpacing/>
        <w:rPr>
          <w:rFonts w:ascii="Arial Narrow" w:hAnsi="Arial Narrow" w:eastAsia="Arial Narrow" w:cs="Arial Narrow"/>
          <w:color w:val="000000" w:themeColor="text1"/>
          <w:sz w:val="24"/>
          <w:szCs w:val="24"/>
        </w:rPr>
      </w:pPr>
    </w:p>
    <w:p w:rsidRPr="0046030C" w:rsidR="00574796" w:rsidP="00574796" w:rsidRDefault="00574796" w14:paraId="3C98E578" w14:textId="7BF2AE6A">
      <w:pPr>
        <w:contextualSpacing/>
        <w:rPr>
          <w:rFonts w:ascii="Arial Narrow" w:hAnsi="Arial Narrow" w:eastAsia="Arial Narrow" w:cs="Arial Narrow"/>
          <w:b/>
          <w:i/>
          <w:color w:val="000000" w:themeColor="text1"/>
          <w:sz w:val="24"/>
          <w:szCs w:val="24"/>
        </w:rPr>
      </w:pPr>
      <w:r w:rsidRPr="0046030C">
        <w:rPr>
          <w:rFonts w:ascii="Arial Narrow" w:hAnsi="Arial Narrow" w:eastAsia="Arial Narrow" w:cs="Arial Narrow"/>
          <w:b/>
          <w:bCs/>
          <w:i/>
          <w:iCs/>
          <w:color w:val="000000" w:themeColor="text1"/>
          <w:sz w:val="24"/>
          <w:szCs w:val="24"/>
        </w:rPr>
        <w:t xml:space="preserve">Will </w:t>
      </w:r>
      <w:r w:rsidRPr="2D4E00D9" w:rsidR="2994A3E5">
        <w:rPr>
          <w:rFonts w:ascii="Arial Narrow" w:hAnsi="Arial Narrow" w:eastAsia="Arial Narrow" w:cs="Arial Narrow"/>
          <w:b/>
          <w:bCs/>
          <w:i/>
          <w:iCs/>
          <w:color w:val="000000" w:themeColor="text1"/>
          <w:sz w:val="24"/>
          <w:szCs w:val="24"/>
        </w:rPr>
        <w:t>Nova</w:t>
      </w:r>
      <w:r w:rsidRPr="0046030C">
        <w:rPr>
          <w:rFonts w:ascii="Arial Narrow" w:hAnsi="Arial Narrow" w:eastAsia="Arial Narrow" w:cs="Arial Narrow"/>
          <w:b/>
          <w:bCs/>
          <w:i/>
          <w:iCs/>
          <w:color w:val="000000" w:themeColor="text1"/>
          <w:sz w:val="24"/>
          <w:szCs w:val="24"/>
        </w:rPr>
        <w:t xml:space="preserve"> be able to make any changes to any data in the payroll system?</w:t>
      </w:r>
    </w:p>
    <w:p w:rsidRPr="0046030C" w:rsidR="00574796" w:rsidP="00574796" w:rsidRDefault="00574796" w14:paraId="50A7EF0E" w14:textId="369D4254">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No. When you authenticate access to establish a connection, it is secure and private. Employer credentials are encrypted and never made available to anyone</w:t>
      </w:r>
      <w:r w:rsidRPr="0046030C" w:rsidR="00C4004B">
        <w:rPr>
          <w:rFonts w:ascii="Arial Narrow" w:hAnsi="Arial Narrow" w:eastAsia="Arial Narrow" w:cs="Arial Narrow"/>
          <w:color w:val="000000" w:themeColor="text1"/>
          <w:sz w:val="24"/>
          <w:szCs w:val="24"/>
        </w:rPr>
        <w:t xml:space="preserve"> – not even Nova</w:t>
      </w:r>
      <w:r w:rsidRPr="0046030C" w:rsidR="003D37C9">
        <w:rPr>
          <w:rFonts w:ascii="Arial Narrow" w:hAnsi="Arial Narrow" w:eastAsia="Arial Narrow" w:cs="Arial Narrow"/>
          <w:color w:val="000000" w:themeColor="text1"/>
          <w:sz w:val="24"/>
          <w:szCs w:val="24"/>
        </w:rPr>
        <w:t xml:space="preserve">. In addition, </w:t>
      </w:r>
      <w:r w:rsidRPr="0046030C" w:rsidR="00E84D16">
        <w:rPr>
          <w:rFonts w:ascii="Arial Narrow" w:hAnsi="Arial Narrow" w:eastAsia="Arial Narrow" w:cs="Arial Narrow"/>
          <w:color w:val="000000" w:themeColor="text1"/>
          <w:sz w:val="24"/>
          <w:szCs w:val="24"/>
        </w:rPr>
        <w:t>Finch prompts employers to review and consent to share any data requested by the platform.</w:t>
      </w:r>
    </w:p>
    <w:p w:rsidRPr="0046030C" w:rsidR="00574796" w:rsidP="00574796" w:rsidRDefault="00574796" w14:paraId="558ACA58" w14:textId="77777777">
      <w:pPr>
        <w:ind w:left="720"/>
        <w:contextualSpacing/>
        <w:rPr>
          <w:rFonts w:ascii="Arial Narrow" w:hAnsi="Arial Narrow" w:eastAsia="Arial Narrow" w:cs="Arial Narrow"/>
          <w:color w:val="000000" w:themeColor="text1"/>
          <w:sz w:val="24"/>
          <w:szCs w:val="24"/>
        </w:rPr>
      </w:pPr>
    </w:p>
    <w:p w:rsidRPr="0046030C" w:rsidR="0750C133" w:rsidP="0750C133" w:rsidRDefault="0750C133" w14:paraId="5440872F" w14:textId="6515E2A9">
      <w:pPr>
        <w:contextualSpacing/>
        <w:rPr>
          <w:rFonts w:ascii="Arial Narrow" w:hAnsi="Arial Narrow" w:eastAsia="Arial Narrow" w:cs="Arial Narrow"/>
          <w:color w:val="000000" w:themeColor="text1"/>
          <w:sz w:val="24"/>
          <w:szCs w:val="24"/>
        </w:rPr>
      </w:pPr>
    </w:p>
    <w:p w:rsidRPr="0046030C" w:rsidR="00574796" w:rsidP="00574796" w:rsidRDefault="00574796" w14:paraId="2AF75482" w14:textId="4A065B4B">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b/>
          <w:bCs/>
          <w:i/>
          <w:iCs/>
          <w:color w:val="000000" w:themeColor="text1"/>
          <w:sz w:val="24"/>
          <w:szCs w:val="24"/>
        </w:rPr>
        <w:t>What is the cost to use this service?</w:t>
      </w:r>
    </w:p>
    <w:p w:rsidRPr="0046030C" w:rsidR="00574796" w:rsidP="00574796" w:rsidRDefault="00574796" w14:paraId="6D71BD31" w14:textId="70E930B9">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$75 per quarter beginning the billing cycle that starts in October for the 1</w:t>
      </w:r>
      <w:r w:rsidRPr="0046030C">
        <w:rPr>
          <w:rFonts w:ascii="Arial Narrow" w:hAnsi="Arial Narrow" w:eastAsia="Arial Narrow" w:cs="Arial Narrow"/>
          <w:color w:val="000000" w:themeColor="text1"/>
          <w:sz w:val="24"/>
          <w:szCs w:val="24"/>
          <w:vertAlign w:val="superscript"/>
        </w:rPr>
        <w:t>st</w:t>
      </w:r>
      <w:r w:rsidRPr="0046030C">
        <w:rPr>
          <w:rFonts w:ascii="Arial Narrow" w:hAnsi="Arial Narrow" w:eastAsia="Arial Narrow" w:cs="Arial Narrow"/>
          <w:color w:val="000000" w:themeColor="text1"/>
          <w:sz w:val="24"/>
          <w:szCs w:val="24"/>
        </w:rPr>
        <w:t xml:space="preserve"> Plan Year the service will be used (note, if started after October, the fee will be retroactively invoiced). This $300 annual fee will pay for the NovaLink connection to Finch plus the completion of a sizable portion of the annual census file on your behalf. </w:t>
      </w:r>
    </w:p>
    <w:p w:rsidRPr="0046030C" w:rsidR="00574796" w:rsidP="00574796" w:rsidRDefault="00574796" w14:paraId="3F73E2F5" w14:textId="77777777">
      <w:pPr>
        <w:ind w:left="1440"/>
        <w:contextualSpacing/>
        <w:rPr>
          <w:rFonts w:ascii="Arial Narrow" w:hAnsi="Arial Narrow" w:eastAsia="Arial Narrow" w:cs="Arial Narrow"/>
          <w:color w:val="000000" w:themeColor="text1"/>
          <w:sz w:val="24"/>
          <w:szCs w:val="24"/>
        </w:rPr>
      </w:pPr>
    </w:p>
    <w:p w:rsidRPr="0046030C" w:rsidR="00574796" w:rsidP="00574796" w:rsidRDefault="00574796" w14:paraId="5BD6A90B" w14:textId="77777777">
      <w:pPr>
        <w:contextualSpacing/>
        <w:rPr>
          <w:rFonts w:ascii="Arial Narrow" w:hAnsi="Arial Narrow" w:eastAsia="Arial Narrow" w:cs="Arial Narrow"/>
          <w:color w:val="000000" w:themeColor="text1"/>
          <w:sz w:val="24"/>
          <w:szCs w:val="24"/>
        </w:rPr>
      </w:pPr>
    </w:p>
    <w:p w:rsidRPr="0046030C" w:rsidR="00574796" w:rsidP="00574796" w:rsidRDefault="00574796" w14:paraId="551FF53E" w14:textId="3CFF194D">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b/>
          <w:bCs/>
          <w:i/>
          <w:iCs/>
          <w:color w:val="000000" w:themeColor="text1"/>
          <w:sz w:val="24"/>
          <w:szCs w:val="24"/>
        </w:rPr>
        <w:t>Does this mean I won’t have to submit anything to Nova for the year-end data collection anymore?</w:t>
      </w:r>
      <w:r w:rsidRPr="0046030C">
        <w:rPr>
          <w:rFonts w:ascii="Arial Narrow" w:hAnsi="Arial Narrow" w:eastAsia="Arial Narrow" w:cs="Arial Narrow"/>
          <w:b/>
          <w:bCs/>
          <w:color w:val="000000" w:themeColor="text1"/>
          <w:sz w:val="24"/>
          <w:szCs w:val="24"/>
        </w:rPr>
        <w:t xml:space="preserve"> </w:t>
      </w:r>
    </w:p>
    <w:p w:rsidRPr="0046030C" w:rsidR="00574796" w:rsidP="00574796" w:rsidRDefault="00574796" w14:paraId="46103B17" w14:textId="217A6EA0">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Once Nova pulls the census information, you will receive a notification to login to PlanSponsorLink to download, review and approve the census. Clients will still be required to complete the remainder of the year-end data collection, which includes the annual questionnaire.</w:t>
      </w:r>
    </w:p>
    <w:p w:rsidRPr="0046030C" w:rsidR="00574796" w:rsidP="00574796" w:rsidRDefault="00574796" w14:paraId="77B7CCF3" w14:textId="77777777">
      <w:pPr>
        <w:ind w:left="720"/>
        <w:contextualSpacing/>
        <w:rPr>
          <w:rFonts w:ascii="Arial Narrow" w:hAnsi="Arial Narrow" w:eastAsia="Arial Narrow" w:cs="Arial Narrow"/>
          <w:color w:val="000000" w:themeColor="text1"/>
          <w:sz w:val="24"/>
          <w:szCs w:val="24"/>
        </w:rPr>
      </w:pPr>
    </w:p>
    <w:p w:rsidRPr="0046030C" w:rsidR="00574796" w:rsidP="00574796" w:rsidRDefault="00574796" w14:paraId="613E802F" w14:textId="77777777">
      <w:pPr>
        <w:contextualSpacing/>
        <w:rPr>
          <w:rFonts w:ascii="Arial Narrow" w:hAnsi="Arial Narrow" w:eastAsia="Arial Narrow" w:cs="Arial Narrow"/>
          <w:color w:val="000000" w:themeColor="text1"/>
          <w:sz w:val="24"/>
          <w:szCs w:val="24"/>
        </w:rPr>
      </w:pPr>
    </w:p>
    <w:p w:rsidRPr="0046030C" w:rsidR="00574796" w:rsidP="00574796" w:rsidRDefault="00574796" w14:paraId="35C8794B" w14:textId="70F2A6D2">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b/>
          <w:bCs/>
          <w:i/>
          <w:iCs/>
          <w:color w:val="000000" w:themeColor="text1"/>
          <w:sz w:val="24"/>
          <w:szCs w:val="24"/>
        </w:rPr>
        <w:t>Will I have a chance to review the data you are pulling?</w:t>
      </w:r>
    </w:p>
    <w:p w:rsidRPr="0046030C" w:rsidR="00574796" w:rsidP="00574796" w:rsidRDefault="00574796" w14:paraId="66E21380" w14:textId="27F6B70F">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Yes, this will be part of the process. Once Nova pulls the census information, you will receive a notification to login to PlanSponsorLink, download, review and approve the census.</w:t>
      </w:r>
    </w:p>
    <w:p w:rsidRPr="0046030C" w:rsidR="00574796" w:rsidP="00574796" w:rsidRDefault="00574796" w14:paraId="0A130CDD" w14:textId="77777777">
      <w:pPr>
        <w:ind w:left="1440"/>
        <w:contextualSpacing/>
        <w:rPr>
          <w:rFonts w:ascii="Arial Narrow" w:hAnsi="Arial Narrow" w:eastAsia="Arial Narrow" w:cs="Arial Narrow"/>
          <w:color w:val="000000" w:themeColor="text1"/>
          <w:sz w:val="24"/>
          <w:szCs w:val="24"/>
        </w:rPr>
      </w:pPr>
    </w:p>
    <w:p w:rsidRPr="0046030C" w:rsidR="00574796" w:rsidP="00574796" w:rsidRDefault="00574796" w14:paraId="17E13B53" w14:textId="77777777">
      <w:pPr>
        <w:contextualSpacing/>
        <w:rPr>
          <w:rFonts w:ascii="Arial Narrow" w:hAnsi="Arial Narrow" w:eastAsia="Arial Narrow" w:cs="Arial Narrow"/>
          <w:color w:val="000000" w:themeColor="text1"/>
          <w:sz w:val="24"/>
          <w:szCs w:val="24"/>
        </w:rPr>
      </w:pPr>
    </w:p>
    <w:p w:rsidRPr="0046030C" w:rsidR="00574796" w:rsidP="00574796" w:rsidRDefault="00574796" w14:paraId="36ADAC1B" w14:textId="3ED97C29">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b/>
          <w:bCs/>
          <w:i/>
          <w:iCs/>
          <w:color w:val="000000" w:themeColor="text1"/>
          <w:sz w:val="24"/>
          <w:szCs w:val="24"/>
        </w:rPr>
        <w:t>My payroll provider has limitations on the number of users that are allowed. What can I do?</w:t>
      </w:r>
    </w:p>
    <w:p w:rsidRPr="0046030C" w:rsidR="00574796" w:rsidP="00574796" w:rsidRDefault="00574796" w14:paraId="3FB05031" w14:textId="387D1633">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There are certain payroll providers that limit the number of users under its service tiers. If yours is one of them, talk to your payroll provider to see what you need to do to add an additional user.</w:t>
      </w:r>
    </w:p>
    <w:p w:rsidRPr="0046030C" w:rsidR="00574796" w:rsidP="00574796" w:rsidRDefault="00574796" w14:paraId="6A012D1B" w14:textId="77777777">
      <w:pPr>
        <w:ind w:left="1440"/>
        <w:contextualSpacing/>
        <w:rPr>
          <w:rFonts w:ascii="Arial Narrow" w:hAnsi="Arial Narrow" w:eastAsia="Arial Narrow" w:cs="Arial Narrow"/>
          <w:color w:val="000000" w:themeColor="text1"/>
          <w:sz w:val="24"/>
          <w:szCs w:val="24"/>
        </w:rPr>
      </w:pPr>
    </w:p>
    <w:p w:rsidRPr="0046030C" w:rsidR="00574796" w:rsidP="00574796" w:rsidRDefault="00574796" w14:paraId="4A2C65AF" w14:textId="77777777">
      <w:pPr>
        <w:contextualSpacing/>
        <w:rPr>
          <w:rFonts w:ascii="Arial Narrow" w:hAnsi="Arial Narrow" w:eastAsia="Arial Narrow" w:cs="Arial Narrow"/>
          <w:color w:val="000000" w:themeColor="text1"/>
          <w:sz w:val="24"/>
          <w:szCs w:val="24"/>
        </w:rPr>
      </w:pPr>
    </w:p>
    <w:p w:rsidRPr="0046030C" w:rsidR="00574796" w:rsidP="00574796" w:rsidRDefault="00574796" w14:paraId="2445D49A" w14:textId="31C96C2F">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b/>
          <w:bCs/>
          <w:i/>
          <w:iCs/>
          <w:color w:val="000000" w:themeColor="text1"/>
          <w:sz w:val="24"/>
          <w:szCs w:val="24"/>
        </w:rPr>
        <w:t>Will Nova be able to pull all fields on the census request template?</w:t>
      </w:r>
    </w:p>
    <w:p w:rsidRPr="0046030C" w:rsidR="00574796" w:rsidP="00574796" w:rsidRDefault="00574796" w14:paraId="25F9CC3F" w14:textId="03AB7368">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Not all census template fields are available to be pulled from your payroll system; therefore, there may be some information you will need to add. Things such as ownership %, officers, employee type(s) if there are excluded employees under the plan, types of terminations, disability and death may need to be added after the data is pulled by NovaLink. Also, since different payroll systems list rehires differently, if your company has rehired employees, you may need to ensure the original date of hire, termination date, and rehire dates are all correct in the data that gets pulled.</w:t>
      </w:r>
    </w:p>
    <w:p w:rsidRPr="0046030C" w:rsidR="00574796" w:rsidP="00574796" w:rsidRDefault="00574796" w14:paraId="7B1D5E7B" w14:textId="77777777">
      <w:pPr>
        <w:ind w:left="1440"/>
        <w:contextualSpacing/>
        <w:rPr>
          <w:rFonts w:ascii="Arial Narrow" w:hAnsi="Arial Narrow" w:eastAsia="Arial Narrow" w:cs="Arial Narrow"/>
          <w:color w:val="000000" w:themeColor="text1"/>
          <w:sz w:val="24"/>
          <w:szCs w:val="24"/>
        </w:rPr>
      </w:pPr>
    </w:p>
    <w:p w:rsidRPr="0046030C" w:rsidR="00574796" w:rsidP="00574796" w:rsidRDefault="00574796" w14:paraId="30BE8D78" w14:textId="77777777">
      <w:pPr>
        <w:contextualSpacing/>
        <w:rPr>
          <w:rFonts w:ascii="Arial Narrow" w:hAnsi="Arial Narrow" w:eastAsia="Arial Narrow" w:cs="Arial Narrow"/>
          <w:color w:val="000000" w:themeColor="text1"/>
          <w:sz w:val="24"/>
          <w:szCs w:val="24"/>
        </w:rPr>
      </w:pPr>
    </w:p>
    <w:p w:rsidRPr="0046030C" w:rsidR="00574796" w:rsidP="00574796" w:rsidRDefault="00574796" w14:paraId="194606F1" w14:textId="4291404C">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b/>
          <w:bCs/>
          <w:i/>
          <w:iCs/>
          <w:color w:val="000000" w:themeColor="text1"/>
          <w:sz w:val="24"/>
          <w:szCs w:val="24"/>
        </w:rPr>
        <w:t>What if I move payroll providers during the year?</w:t>
      </w:r>
    </w:p>
    <w:p w:rsidRPr="0046030C" w:rsidR="00574796" w:rsidP="00574796" w:rsidRDefault="00574796" w14:paraId="2E8516EE" w14:textId="595C6DA3">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If you had a different payroll provider for the first part of the year and now are using a provider that works with NovaLink, we may not be able to pull full-year data. It depends if the prior data was loaded to your new provider. If you change payroll providers during the year (after signing up with NovaLink) be sure to notify us in advance as it’s possible we may no longer be able to offer this service and we want to be sure to stop invoicing your plan if NovaLink is no longer an option.</w:t>
      </w:r>
    </w:p>
    <w:p w:rsidRPr="0046030C" w:rsidR="00574796" w:rsidP="00574796" w:rsidRDefault="00574796" w14:paraId="42CD77F6" w14:textId="77777777">
      <w:pPr>
        <w:contextualSpacing/>
        <w:rPr>
          <w:rFonts w:ascii="Arial Narrow" w:hAnsi="Arial Narrow" w:eastAsia="Arial Narrow" w:cs="Arial Narrow"/>
          <w:color w:val="000000" w:themeColor="text1"/>
          <w:sz w:val="24"/>
          <w:szCs w:val="24"/>
        </w:rPr>
      </w:pPr>
    </w:p>
    <w:p w:rsidRPr="0046030C" w:rsidR="00574796" w:rsidP="00574796" w:rsidRDefault="00574796" w14:paraId="5F7FE77D" w14:textId="40864816">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 xml:space="preserve">If you change providers and the new provider still works with </w:t>
      </w:r>
      <w:r w:rsidRPr="0046030C" w:rsidR="004A4B2F">
        <w:rPr>
          <w:rFonts w:ascii="Arial Narrow" w:hAnsi="Arial Narrow" w:eastAsia="Arial Narrow" w:cs="Arial Narrow"/>
          <w:color w:val="000000" w:themeColor="text1"/>
          <w:sz w:val="24"/>
          <w:szCs w:val="24"/>
        </w:rPr>
        <w:t>Finch,</w:t>
      </w:r>
      <w:r w:rsidR="00024A3B">
        <w:rPr>
          <w:rFonts w:ascii="Arial Narrow" w:hAnsi="Arial Narrow" w:eastAsia="Arial Narrow" w:cs="Arial Narrow"/>
          <w:color w:val="000000" w:themeColor="text1"/>
          <w:sz w:val="24"/>
          <w:szCs w:val="24"/>
        </w:rPr>
        <w:t xml:space="preserve"> w</w:t>
      </w:r>
      <w:r w:rsidRPr="0046030C">
        <w:rPr>
          <w:rFonts w:ascii="Arial Narrow" w:hAnsi="Arial Narrow" w:eastAsia="Arial Narrow" w:cs="Arial Narrow"/>
          <w:color w:val="000000" w:themeColor="text1"/>
          <w:sz w:val="24"/>
          <w:szCs w:val="24"/>
        </w:rPr>
        <w:t>e may not be able to pull full year data. It depends if the prior data was loaded to your new provider.</w:t>
      </w:r>
      <w:r w:rsidR="004A4B2F">
        <w:rPr>
          <w:rFonts w:ascii="Arial Narrow" w:hAnsi="Arial Narrow" w:eastAsia="Arial Narrow" w:cs="Arial Narrow"/>
          <w:color w:val="000000" w:themeColor="text1"/>
          <w:sz w:val="24"/>
          <w:szCs w:val="24"/>
        </w:rPr>
        <w:t xml:space="preserve"> Y</w:t>
      </w:r>
      <w:r w:rsidRPr="0046030C">
        <w:rPr>
          <w:rFonts w:ascii="Arial Narrow" w:hAnsi="Arial Narrow" w:eastAsia="Arial Narrow" w:cs="Arial Narrow"/>
          <w:color w:val="000000" w:themeColor="text1"/>
          <w:sz w:val="24"/>
          <w:szCs w:val="24"/>
        </w:rPr>
        <w:t>ou will be required to complete the authorization and mapping processes again for the new provider.</w:t>
      </w:r>
    </w:p>
    <w:p w:rsidR="6D0172DE" w:rsidRDefault="6D0172DE" w14:paraId="00C255A0" w14:textId="315622BC"/>
    <w:p w:rsidRPr="0046030C" w:rsidR="00574796" w:rsidP="00574796" w:rsidRDefault="00574796" w14:paraId="48E09F6B" w14:textId="77777777">
      <w:pPr>
        <w:contextualSpacing/>
        <w:rPr>
          <w:rFonts w:ascii="Arial Narrow" w:hAnsi="Arial Narrow" w:eastAsia="Arial Narrow" w:cs="Arial Narrow"/>
          <w:color w:val="000000" w:themeColor="text1"/>
          <w:sz w:val="24"/>
          <w:szCs w:val="24"/>
        </w:rPr>
      </w:pPr>
    </w:p>
    <w:p w:rsidRPr="0046030C" w:rsidR="00574796" w:rsidP="00574796" w:rsidRDefault="00574796" w14:paraId="6C50B31F" w14:textId="49E6F1BD">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b/>
          <w:bCs/>
          <w:i/>
          <w:iCs/>
          <w:color w:val="000000" w:themeColor="text1"/>
          <w:sz w:val="24"/>
          <w:szCs w:val="24"/>
        </w:rPr>
        <w:t>What if I use different payroll providers for various locations/participating companies?</w:t>
      </w:r>
    </w:p>
    <w:p w:rsidRPr="0046030C" w:rsidR="00574796" w:rsidP="00574796" w:rsidRDefault="00574796" w14:paraId="6EF491A3" w14:textId="3BD4AC3D">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Unfortunately, NovaLink will not be able to accommodate this type of arrangement – at least not at this time. Clients that use more than one payroll provider or different platforms within the same provider will not be able to utilize NovaLink.</w:t>
      </w:r>
    </w:p>
    <w:p w:rsidRPr="0046030C" w:rsidR="00574796" w:rsidP="00574796" w:rsidRDefault="00574796" w14:paraId="37841147" w14:textId="77777777">
      <w:pPr>
        <w:ind w:left="720"/>
        <w:contextualSpacing/>
        <w:rPr>
          <w:rFonts w:ascii="Arial Narrow" w:hAnsi="Arial Narrow" w:eastAsia="Arial Narrow" w:cs="Arial Narrow"/>
          <w:color w:val="000000" w:themeColor="text1"/>
          <w:sz w:val="24"/>
          <w:szCs w:val="24"/>
        </w:rPr>
      </w:pPr>
    </w:p>
    <w:p w:rsidRPr="0046030C" w:rsidR="00574796" w:rsidP="00574796" w:rsidRDefault="00574796" w14:paraId="60979C65" w14:textId="77777777">
      <w:pPr>
        <w:contextualSpacing/>
        <w:rPr>
          <w:rFonts w:ascii="Arial Narrow" w:hAnsi="Arial Narrow" w:eastAsia="Arial Narrow" w:cs="Arial Narrow"/>
          <w:color w:val="000000" w:themeColor="text1"/>
          <w:sz w:val="24"/>
          <w:szCs w:val="24"/>
        </w:rPr>
      </w:pPr>
    </w:p>
    <w:p w:rsidR="00686825" w:rsidRDefault="00686825" w14:paraId="4269C6F2" w14:textId="77777777">
      <w:pPr>
        <w:rPr>
          <w:rFonts w:ascii="Arial Narrow" w:hAnsi="Arial Narrow" w:eastAsia="Arial Narrow" w:cs="Arial Narrow"/>
          <w:b/>
          <w:bCs/>
          <w:i/>
          <w:iCs/>
          <w:color w:val="000000" w:themeColor="text1"/>
          <w:sz w:val="24"/>
          <w:szCs w:val="24"/>
        </w:rPr>
      </w:pPr>
      <w:r>
        <w:rPr>
          <w:rFonts w:ascii="Arial Narrow" w:hAnsi="Arial Narrow" w:eastAsia="Arial Narrow" w:cs="Arial Narrow"/>
          <w:b/>
          <w:bCs/>
          <w:i/>
          <w:iCs/>
          <w:color w:val="000000" w:themeColor="text1"/>
          <w:sz w:val="24"/>
          <w:szCs w:val="24"/>
        </w:rPr>
        <w:br w:type="page"/>
      </w:r>
    </w:p>
    <w:p w:rsidRPr="0046030C" w:rsidR="00574796" w:rsidP="00574796" w:rsidRDefault="00574796" w14:paraId="3357B319" w14:textId="68E06C0F">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b/>
          <w:bCs/>
          <w:i/>
          <w:iCs/>
          <w:color w:val="000000" w:themeColor="text1"/>
          <w:sz w:val="24"/>
          <w:szCs w:val="24"/>
        </w:rPr>
        <w:t>We exclude certain types of compensation from our plan. Will you be able to gather this information?</w:t>
      </w:r>
    </w:p>
    <w:p w:rsidR="00574796" w:rsidP="00574796" w:rsidRDefault="00574796" w14:paraId="467E88D8" w14:textId="6A6D57E2">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 xml:space="preserve">The different types of compensation will be indicated using the Paycode Mapping File (more info on the Paycode Mapping File below). During the Paycode Mapping process, you will identify the pay codes as “included” or “excluded,” so that NovaLink can determine what is to be included in the plan’s compensation and what is excluded. </w:t>
      </w:r>
    </w:p>
    <w:p w:rsidR="00824779" w:rsidP="00574796" w:rsidRDefault="00824779" w14:paraId="745E494E" w14:textId="77777777">
      <w:pPr>
        <w:contextualSpacing/>
        <w:rPr>
          <w:rFonts w:ascii="Arial Narrow" w:hAnsi="Arial Narrow" w:eastAsia="Arial Narrow" w:cs="Arial Narrow"/>
          <w:color w:val="000000" w:themeColor="text1"/>
          <w:sz w:val="24"/>
          <w:szCs w:val="24"/>
        </w:rPr>
      </w:pPr>
    </w:p>
    <w:p w:rsidR="00824779" w:rsidP="00824779" w:rsidRDefault="00824779" w14:paraId="7BC33EAE" w14:textId="77777777">
      <w:pPr>
        <w:contextualSpacing/>
        <w:rPr>
          <w:rFonts w:ascii="Arial Narrow" w:hAnsi="Arial Narrow" w:eastAsia="Arial Narrow" w:cs="Arial Narrow"/>
          <w:b/>
          <w:bCs/>
          <w:i/>
          <w:iCs/>
          <w:color w:val="000000" w:themeColor="text1"/>
          <w:sz w:val="24"/>
          <w:szCs w:val="24"/>
        </w:rPr>
      </w:pPr>
    </w:p>
    <w:p w:rsidRPr="0046030C" w:rsidR="00824779" w:rsidP="00824779" w:rsidRDefault="00824779" w14:paraId="47ECDC12" w14:textId="187C833B">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b/>
          <w:bCs/>
          <w:i/>
          <w:iCs/>
          <w:color w:val="000000" w:themeColor="text1"/>
          <w:sz w:val="24"/>
          <w:szCs w:val="24"/>
        </w:rPr>
        <w:t>What is a Paycode Mapping File?</w:t>
      </w:r>
    </w:p>
    <w:p w:rsidRPr="0046030C" w:rsidR="00824779" w:rsidP="00824779" w:rsidRDefault="00824779" w14:paraId="64C380EB" w14:textId="77777777">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The Paycode Mapping File allows you to “map” the payroll codes used in your payroll system, so NovaLink knows what types of compensation and deductions each of your payroll codes refer to. This will allow NovaLink to pull the correct data into the correct columns of the census file each year.</w:t>
      </w:r>
    </w:p>
    <w:p w:rsidRPr="0046030C" w:rsidR="00824779" w:rsidP="00824779" w:rsidRDefault="00824779" w14:paraId="3B35A42B" w14:textId="77777777">
      <w:pPr>
        <w:ind w:left="1440"/>
        <w:contextualSpacing/>
        <w:rPr>
          <w:rFonts w:ascii="Arial Narrow" w:hAnsi="Arial Narrow" w:eastAsia="Arial Narrow" w:cs="Arial Narrow"/>
          <w:color w:val="000000" w:themeColor="text1"/>
          <w:sz w:val="24"/>
          <w:szCs w:val="24"/>
        </w:rPr>
      </w:pPr>
    </w:p>
    <w:p w:rsidRPr="0046030C" w:rsidR="00824779" w:rsidP="00824779" w:rsidRDefault="00824779" w14:paraId="13E7D593" w14:textId="77777777">
      <w:pPr>
        <w:contextualSpacing/>
        <w:rPr>
          <w:rFonts w:ascii="Arial Narrow" w:hAnsi="Arial Narrow" w:eastAsia="Arial Narrow" w:cs="Arial Narrow"/>
          <w:color w:val="000000" w:themeColor="text1"/>
          <w:sz w:val="24"/>
          <w:szCs w:val="24"/>
        </w:rPr>
      </w:pPr>
    </w:p>
    <w:p w:rsidRPr="0046030C" w:rsidR="00824779" w:rsidP="00824779" w:rsidRDefault="00824779" w14:paraId="3FF9149C" w14:textId="77777777">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b/>
          <w:bCs/>
          <w:i/>
          <w:iCs/>
          <w:color w:val="000000" w:themeColor="text1"/>
          <w:sz w:val="24"/>
          <w:szCs w:val="24"/>
        </w:rPr>
        <w:t>The Paycode Mapping File link does not appear to be a secure link. Should I still click it?</w:t>
      </w:r>
    </w:p>
    <w:p w:rsidR="00824779" w:rsidP="00824779" w:rsidRDefault="00824779" w14:paraId="519884F4" w14:textId="1D1D4BDA">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 xml:space="preserve">Yes, there is no </w:t>
      </w:r>
      <w:r w:rsidRPr="6159DBBA">
        <w:rPr>
          <w:rFonts w:ascii="Arial Narrow" w:hAnsi="Arial Narrow" w:eastAsia="Arial Narrow" w:cs="Arial Narrow"/>
          <w:color w:val="000000" w:themeColor="text1"/>
          <w:sz w:val="24"/>
          <w:szCs w:val="24"/>
        </w:rPr>
        <w:t>sensitive</w:t>
      </w:r>
      <w:r w:rsidRPr="0046030C">
        <w:rPr>
          <w:rFonts w:ascii="Arial Narrow" w:hAnsi="Arial Narrow" w:eastAsia="Arial Narrow" w:cs="Arial Narrow"/>
          <w:color w:val="000000" w:themeColor="text1"/>
          <w:sz w:val="24"/>
          <w:szCs w:val="24"/>
        </w:rPr>
        <w:t xml:space="preserve"> or confidential information being collected in this step.</w:t>
      </w:r>
    </w:p>
    <w:p w:rsidR="00824779" w:rsidP="00824779" w:rsidRDefault="00824779" w14:paraId="09DEE872" w14:textId="77777777">
      <w:pPr>
        <w:contextualSpacing/>
        <w:rPr>
          <w:rFonts w:ascii="Arial Narrow" w:hAnsi="Arial Narrow" w:eastAsia="Arial Narrow" w:cs="Arial Narrow"/>
          <w:color w:val="000000" w:themeColor="text1"/>
          <w:sz w:val="24"/>
          <w:szCs w:val="24"/>
        </w:rPr>
      </w:pPr>
    </w:p>
    <w:p w:rsidR="73A85AA7" w:rsidP="73A85AA7" w:rsidRDefault="73A85AA7" w14:paraId="5AA57623" w14:textId="121F6C77">
      <w:pPr>
        <w:contextualSpacing/>
        <w:rPr>
          <w:rFonts w:ascii="Arial Narrow" w:hAnsi="Arial Narrow" w:eastAsia="Arial Narrow" w:cs="Arial Narrow"/>
          <w:color w:val="000000" w:themeColor="text1"/>
          <w:sz w:val="24"/>
          <w:szCs w:val="24"/>
        </w:rPr>
      </w:pPr>
    </w:p>
    <w:p w:rsidRPr="0046030C" w:rsidR="00824779" w:rsidP="00824779" w:rsidRDefault="00824779" w14:paraId="72A9AC0E" w14:textId="77777777">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b/>
          <w:bCs/>
          <w:i/>
          <w:iCs/>
          <w:color w:val="000000" w:themeColor="text1"/>
          <w:sz w:val="24"/>
          <w:szCs w:val="24"/>
        </w:rPr>
        <w:t>What if I make a mistake on my Paycode Mapping File?</w:t>
      </w:r>
    </w:p>
    <w:p w:rsidRPr="0046030C" w:rsidR="00824779" w:rsidP="00824779" w:rsidRDefault="00824779" w14:paraId="723A8D31" w14:textId="77777777">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 xml:space="preserve">If you make a mistake, let your Nova Account Manager know so they can unlock the Paycode Mapping File for edits. Once unlocked, you can simply log back into the Paycode Mapping File utility via </w:t>
      </w:r>
      <w:hyperlink r:id="rId14">
        <w:r w:rsidRPr="0046030C">
          <w:rPr>
            <w:rStyle w:val="Hyperlink"/>
            <w:rFonts w:ascii="Arial Narrow" w:hAnsi="Arial Narrow" w:eastAsia="Arial Narrow" w:cs="Arial Narrow"/>
            <w:sz w:val="24"/>
            <w:szCs w:val="24"/>
          </w:rPr>
          <w:t>https://NovaLink.nova401k.com/login.php</w:t>
        </w:r>
      </w:hyperlink>
      <w:r w:rsidRPr="0046030C">
        <w:rPr>
          <w:rFonts w:ascii="Arial Narrow" w:hAnsi="Arial Narrow" w:eastAsia="Arial Narrow" w:cs="Arial Narrow"/>
          <w:color w:val="000000" w:themeColor="text1"/>
          <w:sz w:val="24"/>
          <w:szCs w:val="24"/>
        </w:rPr>
        <w:t xml:space="preserve"> and correct the mistakes. Note that you will need your plan’s Reference ID to log back in. If you cannot remember or find your Reference ID, reach out to your Nova Account Manager. </w:t>
      </w:r>
    </w:p>
    <w:p w:rsidRPr="0046030C" w:rsidR="00574796" w:rsidP="00574796" w:rsidRDefault="00574796" w14:paraId="7F549A3C" w14:textId="77777777">
      <w:pPr>
        <w:ind w:left="1440"/>
        <w:contextualSpacing/>
        <w:rPr>
          <w:rFonts w:ascii="Arial Narrow" w:hAnsi="Arial Narrow" w:eastAsia="Arial Narrow" w:cs="Arial Narrow"/>
          <w:color w:val="000000" w:themeColor="text1"/>
          <w:sz w:val="24"/>
          <w:szCs w:val="24"/>
        </w:rPr>
      </w:pPr>
    </w:p>
    <w:p w:rsidRPr="0046030C" w:rsidR="00574796" w:rsidP="00574796" w:rsidRDefault="00574796" w14:paraId="6BADF2D8" w14:textId="77777777">
      <w:pPr>
        <w:contextualSpacing/>
        <w:rPr>
          <w:rFonts w:ascii="Arial Narrow" w:hAnsi="Arial Narrow" w:eastAsia="Arial Narrow" w:cs="Arial Narrow"/>
          <w:color w:val="000000" w:themeColor="text1"/>
          <w:sz w:val="24"/>
          <w:szCs w:val="24"/>
        </w:rPr>
      </w:pPr>
    </w:p>
    <w:p w:rsidRPr="0046030C" w:rsidR="00574796" w:rsidP="00574796" w:rsidRDefault="00574796" w14:paraId="0B4A3CD6" w14:textId="41CB5584">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b/>
          <w:bCs/>
          <w:i/>
          <w:iCs/>
          <w:color w:val="000000" w:themeColor="text1"/>
          <w:sz w:val="24"/>
          <w:szCs w:val="24"/>
        </w:rPr>
        <w:t>Our plan excludes pre-entry compensation. Will you be able to gather this information?</w:t>
      </w:r>
    </w:p>
    <w:p w:rsidRPr="00824779" w:rsidR="00B81173" w:rsidP="00574796" w:rsidRDefault="00574796" w14:paraId="274BB2EC" w14:textId="2638C4CE">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Yes. During testing, if it is determined that we need pre-entry compensation, we will be able to pull that information via NovaLink for you.</w:t>
      </w:r>
    </w:p>
    <w:p w:rsidRPr="0046030C" w:rsidR="00574796" w:rsidP="00574796" w:rsidRDefault="00574796" w14:paraId="3CE45215" w14:textId="77777777">
      <w:pPr>
        <w:ind w:left="720"/>
        <w:contextualSpacing/>
        <w:rPr>
          <w:rFonts w:ascii="Arial Narrow" w:hAnsi="Arial Narrow" w:eastAsia="Arial Narrow" w:cs="Arial Narrow"/>
          <w:color w:val="000000" w:themeColor="text1"/>
          <w:sz w:val="24"/>
          <w:szCs w:val="24"/>
        </w:rPr>
      </w:pPr>
    </w:p>
    <w:p w:rsidRPr="0046030C" w:rsidR="00BB2964" w:rsidP="0750C133" w:rsidRDefault="00BB2964" w14:paraId="595F677A" w14:textId="77777777">
      <w:pPr>
        <w:contextualSpacing/>
        <w:rPr>
          <w:rFonts w:ascii="Arial Narrow" w:hAnsi="Arial Narrow" w:eastAsia="Arial Narrow" w:cs="Arial Narrow"/>
          <w:b/>
          <w:bCs/>
          <w:i/>
          <w:iCs/>
          <w:color w:val="000000" w:themeColor="text1"/>
          <w:sz w:val="24"/>
          <w:szCs w:val="24"/>
        </w:rPr>
      </w:pPr>
    </w:p>
    <w:p w:rsidRPr="0046030C" w:rsidR="3B8D9F72" w:rsidP="0750C133" w:rsidRDefault="3B8D9F72" w14:paraId="126C7768" w14:textId="74F4409B">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b/>
          <w:bCs/>
          <w:i/>
          <w:iCs/>
          <w:color w:val="000000" w:themeColor="text1"/>
          <w:sz w:val="24"/>
          <w:szCs w:val="24"/>
        </w:rPr>
        <w:t>Is NovaLink required?</w:t>
      </w:r>
    </w:p>
    <w:p w:rsidR="00D21862" w:rsidP="0750C133" w:rsidRDefault="3B8D9F72" w14:paraId="3EE157ED" w14:textId="4E209555">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 xml:space="preserve">No. NovaLink is an optional service. If you do not wish to engage in this service, please contact your Nova Account Manager for </w:t>
      </w:r>
      <w:r w:rsidRPr="0046030C" w:rsidR="00AB2630">
        <w:rPr>
          <w:rFonts w:ascii="Arial Narrow" w:hAnsi="Arial Narrow" w:eastAsia="Arial Narrow" w:cs="Arial Narrow"/>
          <w:color w:val="000000" w:themeColor="text1"/>
          <w:sz w:val="24"/>
          <w:szCs w:val="24"/>
        </w:rPr>
        <w:t>a</w:t>
      </w:r>
      <w:r w:rsidRPr="0046030C">
        <w:rPr>
          <w:rFonts w:ascii="Arial Narrow" w:hAnsi="Arial Narrow" w:eastAsia="Arial Narrow" w:cs="Arial Narrow"/>
          <w:color w:val="000000" w:themeColor="text1"/>
          <w:sz w:val="24"/>
          <w:szCs w:val="24"/>
        </w:rPr>
        <w:t xml:space="preserve"> NovaLink Opt-Out form.</w:t>
      </w:r>
    </w:p>
    <w:p w:rsidR="00D21862" w:rsidRDefault="00D21862" w14:paraId="530DBA0A" w14:textId="77777777">
      <w:pPr>
        <w:rPr>
          <w:rFonts w:ascii="Arial Narrow" w:hAnsi="Arial Narrow" w:eastAsia="Arial Narrow" w:cs="Arial Narrow"/>
          <w:color w:val="000000" w:themeColor="text1"/>
          <w:sz w:val="24"/>
          <w:szCs w:val="24"/>
        </w:rPr>
      </w:pPr>
      <w:r>
        <w:rPr>
          <w:rFonts w:ascii="Arial Narrow" w:hAnsi="Arial Narrow" w:eastAsia="Arial Narrow" w:cs="Arial Narrow"/>
          <w:color w:val="000000" w:themeColor="text1"/>
          <w:sz w:val="24"/>
          <w:szCs w:val="24"/>
        </w:rPr>
        <w:br w:type="page"/>
      </w:r>
    </w:p>
    <w:p w:rsidR="00D21862" w:rsidP="00D21862" w:rsidRDefault="00D21862" w14:paraId="50A6FB81" w14:textId="77777777">
      <w:pPr>
        <w:jc w:val="center"/>
        <w:rPr>
          <w:b/>
          <w:bCs/>
          <w:sz w:val="32"/>
          <w:szCs w:val="32"/>
        </w:rPr>
      </w:pPr>
      <w:r w:rsidRPr="00561D38">
        <w:rPr>
          <w:b/>
          <w:bCs/>
          <w:sz w:val="32"/>
          <w:szCs w:val="32"/>
        </w:rPr>
        <w:t>FINCH FAQs</w:t>
      </w:r>
    </w:p>
    <w:p w:rsidR="59D2CC01" w:rsidP="59D2CC01" w:rsidRDefault="59D2CC01" w14:paraId="6F0F0B39" w14:textId="5D24DD64">
      <w:pPr>
        <w:jc w:val="center"/>
        <w:rPr>
          <w:b/>
          <w:bCs/>
          <w:sz w:val="32"/>
          <w:szCs w:val="32"/>
        </w:rPr>
      </w:pPr>
    </w:p>
    <w:p w:rsidRPr="0046030C" w:rsidR="00D21862" w:rsidP="00D21862" w:rsidRDefault="00D21862" w14:paraId="310B76F4" w14:textId="77777777">
      <w:pPr>
        <w:spacing w:beforeAutospacing="1" w:afterAutospacing="1" w:line="240" w:lineRule="auto"/>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b/>
          <w:bCs/>
          <w:i/>
          <w:iCs/>
          <w:color w:val="000000" w:themeColor="text1"/>
          <w:sz w:val="24"/>
          <w:szCs w:val="24"/>
        </w:rPr>
        <w:t>Why connect my payroll data to another platform?</w:t>
      </w:r>
    </w:p>
    <w:p w:rsidRPr="0046030C" w:rsidR="00D21862" w:rsidP="00D21862" w:rsidRDefault="00D21862" w14:paraId="1FDF487B" w14:textId="77777777">
      <w:pPr>
        <w:spacing w:afterAutospacing="1" w:line="240" w:lineRule="auto"/>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Payroll systems house data that can be used to power other apps and services, such as data on employee count, employment status, income history, benefits enrollment, and more. Finch will specify what data the platform is requesting so that you can make an informed decision about what data you would like to share.</w:t>
      </w:r>
    </w:p>
    <w:p w:rsidRPr="0046030C" w:rsidR="00D21862" w:rsidP="00D21862" w:rsidRDefault="00D21862" w14:paraId="53EC685B" w14:textId="77777777">
      <w:pPr>
        <w:spacing w:afterAutospacing="1" w:line="240" w:lineRule="auto"/>
        <w:contextualSpacing/>
        <w:rPr>
          <w:rFonts w:ascii="Arial Narrow" w:hAnsi="Arial Narrow" w:eastAsia="Arial Narrow" w:cs="Arial Narrow"/>
          <w:color w:val="000000" w:themeColor="text1"/>
          <w:sz w:val="24"/>
          <w:szCs w:val="24"/>
        </w:rPr>
      </w:pPr>
    </w:p>
    <w:p w:rsidRPr="0046030C" w:rsidR="00D21862" w:rsidP="00D21862" w:rsidRDefault="00D21862" w14:paraId="2F6C4473" w14:textId="77777777">
      <w:pPr>
        <w:spacing w:afterAutospacing="1" w:line="240" w:lineRule="auto"/>
        <w:contextualSpacing/>
        <w:rPr>
          <w:rFonts w:ascii="Arial Narrow" w:hAnsi="Arial Narrow" w:eastAsia="Arial Narrow" w:cs="Arial Narrow"/>
          <w:b/>
          <w:bCs/>
          <w:i/>
          <w:iCs/>
          <w:color w:val="000000" w:themeColor="text1"/>
          <w:sz w:val="24"/>
          <w:szCs w:val="24"/>
        </w:rPr>
      </w:pPr>
    </w:p>
    <w:p w:rsidRPr="0046030C" w:rsidR="00D21862" w:rsidP="00D21862" w:rsidRDefault="00D21862" w14:paraId="678ABE00" w14:textId="77777777">
      <w:pPr>
        <w:spacing w:afterAutospacing="1" w:line="240" w:lineRule="auto"/>
        <w:contextualSpacing/>
        <w:rPr>
          <w:rFonts w:ascii="Arial Narrow" w:hAnsi="Arial Narrow" w:eastAsia="Arial Narrow" w:cs="Arial Narrow"/>
          <w:b/>
          <w:bCs/>
          <w:i/>
          <w:iCs/>
          <w:color w:val="000000" w:themeColor="text1"/>
          <w:sz w:val="24"/>
          <w:szCs w:val="24"/>
        </w:rPr>
      </w:pPr>
      <w:r w:rsidRPr="0046030C">
        <w:rPr>
          <w:rFonts w:ascii="Arial Narrow" w:hAnsi="Arial Narrow" w:eastAsia="Arial Narrow" w:cs="Arial Narrow"/>
          <w:b/>
          <w:bCs/>
          <w:i/>
          <w:iCs/>
          <w:color w:val="000000" w:themeColor="text1"/>
          <w:sz w:val="24"/>
          <w:szCs w:val="24"/>
        </w:rPr>
        <w:t>Why do I need to authenticate using an admin account?</w:t>
      </w:r>
    </w:p>
    <w:p w:rsidRPr="0046030C" w:rsidR="00D21862" w:rsidP="00D21862" w:rsidRDefault="00D21862" w14:paraId="50A7F81D" w14:textId="77777777">
      <w:pPr>
        <w:spacing w:afterAutospacing="1" w:line="240" w:lineRule="auto"/>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Finch may require specific permissions to access the scope of data being requested from the platform. In order to consent to sharing certain types of data, admin privileges are required.</w:t>
      </w:r>
    </w:p>
    <w:p w:rsidRPr="0046030C" w:rsidR="00D21862" w:rsidP="00D21862" w:rsidRDefault="00D21862" w14:paraId="56E662E0" w14:textId="77777777">
      <w:pPr>
        <w:spacing w:afterAutospacing="1" w:line="240" w:lineRule="auto"/>
        <w:contextualSpacing/>
        <w:rPr>
          <w:rFonts w:ascii="Arial Narrow" w:hAnsi="Arial Narrow" w:eastAsia="Arial Narrow" w:cs="Arial Narrow"/>
          <w:color w:val="000000" w:themeColor="text1"/>
          <w:sz w:val="24"/>
          <w:szCs w:val="24"/>
        </w:rPr>
      </w:pPr>
    </w:p>
    <w:p w:rsidRPr="0046030C" w:rsidR="00D21862" w:rsidP="00D21862" w:rsidRDefault="00D21862" w14:paraId="5F6C0C41" w14:textId="77777777">
      <w:pPr>
        <w:spacing w:afterAutospacing="1" w:line="240" w:lineRule="auto"/>
        <w:contextualSpacing/>
        <w:rPr>
          <w:rFonts w:ascii="Arial Narrow" w:hAnsi="Arial Narrow" w:eastAsia="Arial Narrow" w:cs="Arial Narrow"/>
          <w:b/>
          <w:bCs/>
          <w:i/>
          <w:iCs/>
          <w:color w:val="000000" w:themeColor="text1"/>
          <w:sz w:val="24"/>
          <w:szCs w:val="24"/>
        </w:rPr>
      </w:pPr>
    </w:p>
    <w:p w:rsidRPr="0046030C" w:rsidR="00D21862" w:rsidP="00D21862" w:rsidRDefault="00D21862" w14:paraId="4F1F147F" w14:textId="77777777">
      <w:pPr>
        <w:spacing w:afterAutospacing="1" w:line="240" w:lineRule="auto"/>
        <w:contextualSpacing/>
        <w:rPr>
          <w:rFonts w:ascii="Arial Narrow" w:hAnsi="Arial Narrow" w:eastAsia="Arial Narrow" w:cs="Arial Narrow"/>
          <w:b/>
          <w:bCs/>
          <w:i/>
          <w:iCs/>
          <w:color w:val="000000" w:themeColor="text1"/>
          <w:sz w:val="24"/>
          <w:szCs w:val="24"/>
        </w:rPr>
      </w:pPr>
      <w:r w:rsidRPr="0046030C">
        <w:rPr>
          <w:rFonts w:ascii="Arial Narrow" w:hAnsi="Arial Narrow" w:eastAsia="Arial Narrow" w:cs="Arial Narrow"/>
          <w:b/>
          <w:bCs/>
          <w:i/>
          <w:iCs/>
          <w:color w:val="000000" w:themeColor="text1"/>
          <w:sz w:val="24"/>
          <w:szCs w:val="24"/>
        </w:rPr>
        <w:t>Will I need to authenticate multiple times?</w:t>
      </w:r>
    </w:p>
    <w:p w:rsidRPr="0046030C" w:rsidR="00D21862" w:rsidP="00D21862" w:rsidRDefault="00D21862" w14:paraId="766221C7" w14:textId="77777777">
      <w:pPr>
        <w:spacing w:afterAutospacing="1" w:line="240" w:lineRule="auto"/>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Depending on the integration, you may need to re-authenticate to keep your connection active. Authentication requirements vary and are dependent upon security protocols and cookies expirations set by each payroll provider. Any integration, via Finch or otherwise, will be subject to similar requirements.</w:t>
      </w:r>
    </w:p>
    <w:p w:rsidRPr="0046030C" w:rsidR="00D21862" w:rsidP="00D21862" w:rsidRDefault="00D21862" w14:paraId="2DB6C0BC" w14:textId="77777777">
      <w:pPr>
        <w:spacing w:afterAutospacing="1" w:line="240" w:lineRule="auto"/>
        <w:contextualSpacing/>
        <w:rPr>
          <w:rFonts w:ascii="Arial Narrow" w:hAnsi="Arial Narrow" w:eastAsia="Arial Narrow" w:cs="Arial Narrow"/>
          <w:color w:val="000000" w:themeColor="text1"/>
          <w:sz w:val="24"/>
          <w:szCs w:val="24"/>
        </w:rPr>
      </w:pPr>
    </w:p>
    <w:p w:rsidR="00D21862" w:rsidP="00D21862" w:rsidRDefault="00D21862" w14:paraId="570CC66F" w14:textId="77777777">
      <w:pPr>
        <w:spacing w:afterAutospacing="1" w:line="240" w:lineRule="auto"/>
        <w:contextualSpacing/>
        <w:rPr>
          <w:rFonts w:ascii="Arial Narrow" w:hAnsi="Arial Narrow" w:eastAsia="Arial Narrow" w:cs="Arial Narrow"/>
          <w:b/>
          <w:bCs/>
          <w:i/>
          <w:iCs/>
          <w:color w:val="000000" w:themeColor="text1"/>
          <w:sz w:val="24"/>
          <w:szCs w:val="24"/>
        </w:rPr>
      </w:pPr>
    </w:p>
    <w:p w:rsidRPr="0046030C" w:rsidR="00D21862" w:rsidP="00D21862" w:rsidRDefault="00D21862" w14:paraId="20257DDF" w14:textId="77777777">
      <w:pPr>
        <w:spacing w:afterAutospacing="1" w:line="240" w:lineRule="auto"/>
        <w:contextualSpacing/>
        <w:rPr>
          <w:rFonts w:ascii="Arial Narrow" w:hAnsi="Arial Narrow" w:eastAsia="Arial Narrow" w:cs="Arial Narrow"/>
          <w:b/>
          <w:bCs/>
          <w:i/>
          <w:iCs/>
          <w:color w:val="000000" w:themeColor="text1"/>
          <w:sz w:val="24"/>
          <w:szCs w:val="24"/>
        </w:rPr>
      </w:pPr>
      <w:r w:rsidRPr="0046030C">
        <w:rPr>
          <w:rFonts w:ascii="Arial Narrow" w:hAnsi="Arial Narrow" w:eastAsia="Arial Narrow" w:cs="Arial Narrow"/>
          <w:b/>
          <w:bCs/>
          <w:i/>
          <w:iCs/>
          <w:color w:val="000000" w:themeColor="text1"/>
          <w:sz w:val="24"/>
          <w:szCs w:val="24"/>
        </w:rPr>
        <w:t>How is my data stored?</w:t>
      </w:r>
    </w:p>
    <w:p w:rsidRPr="0046030C" w:rsidR="00D21862" w:rsidP="00D21862" w:rsidRDefault="00D21862" w14:paraId="595A9CEA" w14:textId="77777777">
      <w:pPr>
        <w:spacing w:afterAutospacing="1" w:line="240" w:lineRule="auto"/>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Finch utilizes best-in-class encryption protocols and compliance standards to keep your data safe. The Finch infrastructure enforces the use of TLS 1.2 to encrypt data in transit, and AES 256-bit encryption for data at rest. Data is backed up across our data stores each day, and all backups are also encrypted. Finch may also employ strict data retention policies and data is erased from the system when a connection is deactivated.</w:t>
      </w:r>
    </w:p>
    <w:p w:rsidRPr="0046030C" w:rsidR="00D21862" w:rsidP="00D21862" w:rsidRDefault="00D21862" w14:paraId="0442B319" w14:textId="77777777">
      <w:pPr>
        <w:spacing w:afterAutospacing="1" w:line="240" w:lineRule="auto"/>
        <w:contextualSpacing/>
        <w:rPr>
          <w:rFonts w:ascii="Arial Narrow" w:hAnsi="Arial Narrow" w:eastAsia="Arial Narrow" w:cs="Arial Narrow"/>
          <w:color w:val="000000" w:themeColor="text1"/>
          <w:sz w:val="24"/>
          <w:szCs w:val="24"/>
        </w:rPr>
      </w:pPr>
    </w:p>
    <w:p w:rsidRPr="0046030C" w:rsidR="00D21862" w:rsidP="00D21862" w:rsidRDefault="00D21862" w14:paraId="0DDD83C0" w14:textId="243B1177">
      <w:pPr>
        <w:spacing w:afterAutospacing="1" w:line="240" w:lineRule="auto"/>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 xml:space="preserve">Finch is SOC 2 and CCPA compliant and seeks to protect personal data from unauthorized access, use and disclosure with physical, technical, organizational and administrative security measures based </w:t>
      </w:r>
      <w:r w:rsidR="00F11702">
        <w:rPr>
          <w:rFonts w:ascii="Arial Narrow" w:hAnsi="Arial Narrow" w:eastAsia="Arial Narrow" w:cs="Arial Narrow"/>
          <w:color w:val="000000" w:themeColor="text1"/>
          <w:sz w:val="24"/>
          <w:szCs w:val="24"/>
        </w:rPr>
        <w:t>on</w:t>
      </w:r>
      <w:r w:rsidRPr="0046030C">
        <w:rPr>
          <w:rFonts w:ascii="Arial Narrow" w:hAnsi="Arial Narrow" w:eastAsia="Arial Narrow" w:cs="Arial Narrow"/>
          <w:color w:val="000000" w:themeColor="text1"/>
          <w:sz w:val="24"/>
          <w:szCs w:val="24"/>
        </w:rPr>
        <w:t xml:space="preserve"> the type of data and how it is being processed. SOC 2 is an independent audit report which details information and assurance regarding Finch’s controls.</w:t>
      </w:r>
    </w:p>
    <w:p w:rsidRPr="0046030C" w:rsidR="00D21862" w:rsidP="00D21862" w:rsidRDefault="00D21862" w14:paraId="06142309" w14:textId="77777777">
      <w:pPr>
        <w:rPr>
          <w:rFonts w:ascii="Arial Narrow" w:hAnsi="Arial Narrow"/>
          <w:sz w:val="24"/>
          <w:szCs w:val="24"/>
        </w:rPr>
      </w:pPr>
    </w:p>
    <w:p w:rsidRPr="0046030C" w:rsidR="00D21862" w:rsidP="00D21862" w:rsidRDefault="00D21862" w14:paraId="4D90D248" w14:textId="77777777">
      <w:pPr>
        <w:spacing w:afterAutospacing="1" w:line="240" w:lineRule="auto"/>
        <w:contextualSpacing/>
        <w:rPr>
          <w:rFonts w:ascii="Arial Narrow" w:hAnsi="Arial Narrow" w:eastAsia="Arial Narrow" w:cs="Arial Narrow"/>
          <w:b/>
          <w:i/>
          <w:color w:val="000000" w:themeColor="text1"/>
          <w:sz w:val="24"/>
          <w:szCs w:val="24"/>
        </w:rPr>
      </w:pPr>
      <w:r w:rsidRPr="0046030C">
        <w:rPr>
          <w:rFonts w:ascii="Arial Narrow" w:hAnsi="Arial Narrow" w:eastAsia="Arial Narrow" w:cs="Arial Narrow"/>
          <w:b/>
          <w:bCs/>
          <w:i/>
          <w:iCs/>
          <w:color w:val="000000" w:themeColor="text1"/>
          <w:sz w:val="24"/>
          <w:szCs w:val="24"/>
        </w:rPr>
        <w:t xml:space="preserve">Do you </w:t>
      </w:r>
      <w:r w:rsidRPr="378BE984">
        <w:rPr>
          <w:rFonts w:ascii="Arial Narrow" w:hAnsi="Arial Narrow" w:eastAsia="Arial Narrow" w:cs="Arial Narrow"/>
          <w:b/>
          <w:bCs/>
          <w:i/>
          <w:iCs/>
          <w:color w:val="000000" w:themeColor="text1"/>
          <w:sz w:val="24"/>
          <w:szCs w:val="24"/>
        </w:rPr>
        <w:t>sell</w:t>
      </w:r>
      <w:r w:rsidRPr="0046030C">
        <w:rPr>
          <w:rFonts w:ascii="Arial Narrow" w:hAnsi="Arial Narrow" w:eastAsia="Arial Narrow" w:cs="Arial Narrow"/>
          <w:b/>
          <w:bCs/>
          <w:i/>
          <w:iCs/>
          <w:color w:val="000000" w:themeColor="text1"/>
          <w:sz w:val="24"/>
          <w:szCs w:val="24"/>
        </w:rPr>
        <w:t xml:space="preserve"> my data?</w:t>
      </w:r>
    </w:p>
    <w:p w:rsidRPr="0046030C" w:rsidR="00D21862" w:rsidP="00D21862" w:rsidRDefault="00D21862" w14:paraId="47DFEEF8" w14:textId="77777777">
      <w:pPr>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 xml:space="preserve">Finch does not sell identifiable or anonymized employer or employee data. </w:t>
      </w:r>
    </w:p>
    <w:p w:rsidRPr="0046030C" w:rsidR="00D21862" w:rsidP="00D21862" w:rsidRDefault="00D21862" w14:paraId="74DF7FA0" w14:textId="77777777">
      <w:pPr>
        <w:rPr>
          <w:rFonts w:ascii="Arial Narrow" w:hAnsi="Arial Narrow" w:eastAsia="Arial Narrow" w:cs="Arial Narrow"/>
          <w:color w:val="000000" w:themeColor="text1"/>
          <w:sz w:val="24"/>
          <w:szCs w:val="24"/>
        </w:rPr>
      </w:pPr>
    </w:p>
    <w:p w:rsidRPr="0046030C" w:rsidR="00D21862" w:rsidP="00D21862" w:rsidRDefault="00D21862" w14:paraId="3D300DAB" w14:textId="77777777">
      <w:pPr>
        <w:spacing w:afterAutospacing="1" w:line="240" w:lineRule="auto"/>
        <w:contextualSpacing/>
        <w:rPr>
          <w:rFonts w:ascii="Arial Narrow" w:hAnsi="Arial Narrow" w:eastAsia="Arial Narrow" w:cs="Arial Narrow"/>
          <w:b/>
          <w:bCs/>
          <w:i/>
          <w:iCs/>
          <w:color w:val="000000" w:themeColor="text1"/>
          <w:sz w:val="24"/>
          <w:szCs w:val="24"/>
        </w:rPr>
      </w:pPr>
      <w:r w:rsidRPr="0046030C">
        <w:rPr>
          <w:rFonts w:ascii="Arial Narrow" w:hAnsi="Arial Narrow" w:eastAsia="Arial Narrow" w:cs="Arial Narrow"/>
          <w:b/>
          <w:bCs/>
          <w:i/>
          <w:iCs/>
          <w:color w:val="000000" w:themeColor="text1"/>
          <w:sz w:val="24"/>
          <w:szCs w:val="24"/>
        </w:rPr>
        <w:t>What data will Finch have access to?</w:t>
      </w:r>
    </w:p>
    <w:p w:rsidRPr="0046030C" w:rsidR="00D21862" w:rsidP="00D21862" w:rsidRDefault="00D21862" w14:paraId="77892C5D" w14:textId="77777777">
      <w:pPr>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Finch prompts employers to review and consent to share any data requested by a platform. Finch also discloses data privacy practices before any connection is established, so you know how your data is transferred and stored.</w:t>
      </w:r>
    </w:p>
    <w:p w:rsidRPr="0046030C" w:rsidR="00D21862" w:rsidP="00D21862" w:rsidRDefault="00D21862" w14:paraId="6477E46B" w14:textId="77777777">
      <w:pPr>
        <w:rPr>
          <w:rFonts w:ascii="Arial Narrow" w:hAnsi="Arial Narrow" w:eastAsia="Arial Narrow" w:cs="Arial Narrow"/>
          <w:color w:val="000000" w:themeColor="text1"/>
          <w:sz w:val="24"/>
          <w:szCs w:val="24"/>
        </w:rPr>
      </w:pPr>
    </w:p>
    <w:p w:rsidRPr="0046030C" w:rsidR="00D21862" w:rsidP="00D21862" w:rsidRDefault="00D21862" w14:paraId="6682C7CB" w14:textId="77777777">
      <w:pPr>
        <w:spacing w:afterAutospacing="1" w:line="240" w:lineRule="auto"/>
        <w:contextualSpacing/>
        <w:rPr>
          <w:rFonts w:ascii="Arial Narrow" w:hAnsi="Arial Narrow" w:eastAsia="Arial Narrow" w:cs="Arial Narrow"/>
          <w:b/>
          <w:bCs/>
          <w:i/>
          <w:iCs/>
          <w:color w:val="000000" w:themeColor="text1"/>
          <w:sz w:val="24"/>
          <w:szCs w:val="24"/>
        </w:rPr>
      </w:pPr>
      <w:r w:rsidRPr="0046030C">
        <w:rPr>
          <w:rFonts w:ascii="Arial Narrow" w:hAnsi="Arial Narrow" w:eastAsia="Arial Narrow" w:cs="Arial Narrow"/>
          <w:b/>
          <w:bCs/>
          <w:i/>
          <w:iCs/>
          <w:color w:val="000000" w:themeColor="text1"/>
          <w:sz w:val="24"/>
          <w:szCs w:val="24"/>
        </w:rPr>
        <w:t>Why do platforms use Finch?</w:t>
      </w:r>
    </w:p>
    <w:p w:rsidR="3B8D9F72" w:rsidP="00D21862" w:rsidRDefault="00D21862" w14:paraId="496BF847" w14:textId="4237984E">
      <w:pPr>
        <w:contextualSpacing/>
        <w:rPr>
          <w:rFonts w:ascii="Arial Narrow" w:hAnsi="Arial Narrow" w:eastAsia="Arial Narrow" w:cs="Arial Narrow"/>
          <w:color w:val="000000" w:themeColor="text1"/>
          <w:sz w:val="24"/>
          <w:szCs w:val="24"/>
        </w:rPr>
      </w:pPr>
      <w:r w:rsidRPr="0046030C">
        <w:rPr>
          <w:rFonts w:ascii="Arial Narrow" w:hAnsi="Arial Narrow" w:eastAsia="Arial Narrow" w:cs="Arial Narrow"/>
          <w:color w:val="000000" w:themeColor="text1"/>
          <w:sz w:val="24"/>
          <w:szCs w:val="24"/>
        </w:rPr>
        <w:t>Without Finch, platforms must ask employers to regularly update company and employee data in their system, usually through manual data uploads. The alternative is to build and maintain hundreds of integrations themselves, which limits their capacity to offer new services. With Finch, these platforms can offer a better user experience, support more integrations, and focus their engineering resources on building additional features and services.</w:t>
      </w:r>
    </w:p>
    <w:p w:rsidR="00913779" w:rsidP="00D21862" w:rsidRDefault="00913779" w14:paraId="065BCE90" w14:textId="77777777">
      <w:pPr>
        <w:contextualSpacing/>
        <w:rPr>
          <w:rFonts w:ascii="Arial Narrow" w:hAnsi="Arial Narrow" w:eastAsia="Arial Narrow" w:cs="Arial Narrow"/>
          <w:color w:val="000000" w:themeColor="text1"/>
          <w:sz w:val="24"/>
          <w:szCs w:val="24"/>
        </w:rPr>
      </w:pPr>
    </w:p>
    <w:p w:rsidR="00913779" w:rsidP="00D21862" w:rsidRDefault="00913779" w14:paraId="039308B9" w14:textId="77777777">
      <w:pPr>
        <w:contextualSpacing/>
        <w:rPr>
          <w:rFonts w:ascii="Arial Narrow" w:hAnsi="Arial Narrow" w:eastAsia="Arial Narrow" w:cs="Arial Narrow"/>
          <w:color w:val="000000" w:themeColor="text1"/>
          <w:sz w:val="24"/>
          <w:szCs w:val="24"/>
        </w:rPr>
      </w:pPr>
    </w:p>
    <w:p w:rsidR="00913779" w:rsidP="00D21862" w:rsidRDefault="00913779" w14:paraId="4D48A2F6" w14:textId="77777777">
      <w:pPr>
        <w:contextualSpacing/>
        <w:rPr>
          <w:rFonts w:ascii="Arial Narrow" w:hAnsi="Arial Narrow" w:eastAsia="Arial Narrow" w:cs="Arial Narrow"/>
          <w:color w:val="000000" w:themeColor="text1"/>
          <w:sz w:val="24"/>
          <w:szCs w:val="24"/>
        </w:rPr>
      </w:pPr>
    </w:p>
    <w:p w:rsidR="00913779" w:rsidP="00D21862" w:rsidRDefault="00913779" w14:paraId="07B05E49" w14:textId="77777777">
      <w:pPr>
        <w:contextualSpacing/>
        <w:rPr>
          <w:rFonts w:ascii="Arial Narrow" w:hAnsi="Arial Narrow" w:eastAsia="Arial Narrow" w:cs="Arial Narrow"/>
          <w:color w:val="000000" w:themeColor="text1"/>
          <w:sz w:val="24"/>
          <w:szCs w:val="24"/>
        </w:rPr>
      </w:pPr>
    </w:p>
    <w:p w:rsidR="008E0D8A" w:rsidP="00D21862" w:rsidRDefault="008E0D8A" w14:paraId="6CE9EF88" w14:textId="77777777">
      <w:pPr>
        <w:contextualSpacing/>
        <w:rPr>
          <w:rFonts w:ascii="Arial Narrow" w:hAnsi="Arial Narrow" w:eastAsia="Arial Narrow" w:cs="Arial Narrow"/>
          <w:color w:val="000000" w:themeColor="text1"/>
          <w:sz w:val="24"/>
          <w:szCs w:val="24"/>
        </w:rPr>
      </w:pPr>
    </w:p>
    <w:p w:rsidRPr="008726F4" w:rsidR="008E0D8A" w:rsidP="00D21862" w:rsidRDefault="008726F4" w14:paraId="712F6001" w14:textId="230A75BE">
      <w:pPr>
        <w:contextualSpacing/>
        <w:rPr>
          <w:rFonts w:ascii="Arial Narrow" w:hAnsi="Arial Narrow" w:eastAsia="Arial Narrow" w:cs="Arial Narrow"/>
          <w:b/>
          <w:bCs/>
          <w:i/>
          <w:iCs/>
          <w:color w:val="000000" w:themeColor="text1"/>
          <w:sz w:val="24"/>
          <w:szCs w:val="24"/>
        </w:rPr>
      </w:pPr>
      <w:r w:rsidRPr="008726F4">
        <w:rPr>
          <w:rFonts w:ascii="Arial Narrow" w:hAnsi="Arial Narrow" w:eastAsia="Arial Narrow" w:cs="Arial Narrow"/>
          <w:b/>
          <w:bCs/>
          <w:i/>
          <w:iCs/>
          <w:color w:val="000000" w:themeColor="text1"/>
          <w:sz w:val="24"/>
          <w:szCs w:val="24"/>
        </w:rPr>
        <w:t>Does Finch have an SOC2?</w:t>
      </w:r>
    </w:p>
    <w:p w:rsidRPr="008671CC" w:rsidR="0750C133" w:rsidP="0750C133" w:rsidRDefault="008726F4" w14:paraId="709007F0" w14:textId="5BDA662C">
      <w:pPr>
        <w:contextualSpacing/>
        <w:rPr>
          <w:rFonts w:ascii="Arial Narrow" w:hAnsi="Arial Narrow" w:eastAsia="Arial Narrow" w:cs="Arial Narrow"/>
          <w:color w:val="000000" w:themeColor="text1"/>
          <w:sz w:val="24"/>
          <w:szCs w:val="24"/>
        </w:rPr>
      </w:pPr>
      <w:r w:rsidRPr="008671CC">
        <w:rPr>
          <w:rFonts w:ascii="Arial Narrow" w:hAnsi="Arial Narrow" w:eastAsia="Arial Narrow" w:cs="Arial Narrow"/>
          <w:color w:val="000000" w:themeColor="text1"/>
          <w:sz w:val="24"/>
          <w:szCs w:val="24"/>
        </w:rPr>
        <w:t>Yes, F</w:t>
      </w:r>
      <w:r w:rsidRPr="008671CC" w:rsidR="00B23D0E">
        <w:rPr>
          <w:rFonts w:ascii="Arial Narrow" w:hAnsi="Arial Narrow" w:eastAsia="Arial Narrow" w:cs="Arial Narrow"/>
          <w:color w:val="000000" w:themeColor="text1"/>
          <w:sz w:val="24"/>
          <w:szCs w:val="24"/>
        </w:rPr>
        <w:t xml:space="preserve">inch has an SOC2. If you would like to request a </w:t>
      </w:r>
      <w:r w:rsidRPr="008671CC" w:rsidR="00D6480F">
        <w:rPr>
          <w:rFonts w:ascii="Arial Narrow" w:hAnsi="Arial Narrow" w:eastAsia="Arial Narrow" w:cs="Arial Narrow"/>
          <w:color w:val="000000" w:themeColor="text1"/>
          <w:sz w:val="24"/>
          <w:szCs w:val="24"/>
        </w:rPr>
        <w:t>copy,</w:t>
      </w:r>
      <w:r w:rsidRPr="008671CC" w:rsidR="00B23D0E">
        <w:rPr>
          <w:rFonts w:ascii="Arial Narrow" w:hAnsi="Arial Narrow" w:eastAsia="Arial Narrow" w:cs="Arial Narrow"/>
          <w:color w:val="000000" w:themeColor="text1"/>
          <w:sz w:val="24"/>
          <w:szCs w:val="24"/>
        </w:rPr>
        <w:t xml:space="preserve"> please follow the steps below.</w:t>
      </w:r>
    </w:p>
    <w:p w:rsidRPr="008671CC" w:rsidR="008671CC" w:rsidP="008671CC" w:rsidRDefault="008671CC" w14:paraId="1CEF38B5" w14:textId="0BFC806F">
      <w:pPr>
        <w:numPr>
          <w:ilvl w:val="0"/>
          <w:numId w:val="3"/>
        </w:numPr>
        <w:contextualSpacing/>
        <w:rPr>
          <w:rFonts w:ascii="Arial Narrow" w:hAnsi="Arial Narrow" w:eastAsia="Arial Narrow" w:cs="Arial Narrow"/>
          <w:color w:val="000000" w:themeColor="text1"/>
        </w:rPr>
      </w:pPr>
      <w:r w:rsidRPr="008671CC">
        <w:rPr>
          <w:rFonts w:ascii="Arial Narrow" w:hAnsi="Arial Narrow" w:eastAsia="Arial Narrow" w:cs="Arial Narrow"/>
          <w:color w:val="000000" w:themeColor="text1"/>
        </w:rPr>
        <w:t>Navigate to</w:t>
      </w:r>
      <w:r w:rsidR="00A74C70">
        <w:rPr>
          <w:rFonts w:ascii="Arial Narrow" w:hAnsi="Arial Narrow" w:eastAsia="Arial Narrow" w:cs="Arial Narrow"/>
          <w:color w:val="000000" w:themeColor="text1"/>
        </w:rPr>
        <w:t xml:space="preserve"> the</w:t>
      </w:r>
      <w:r w:rsidRPr="008671CC">
        <w:rPr>
          <w:rFonts w:ascii="Arial Narrow" w:hAnsi="Arial Narrow" w:eastAsia="Arial Narrow" w:cs="Arial Narrow"/>
          <w:color w:val="000000" w:themeColor="text1"/>
        </w:rPr>
        <w:t> </w:t>
      </w:r>
      <w:hyperlink w:tgtFrame="_blank" w:history="1" r:id="rId15">
        <w:r w:rsidRPr="008671CC">
          <w:rPr>
            <w:rStyle w:val="Hyperlink"/>
            <w:rFonts w:ascii="Arial Narrow" w:hAnsi="Arial Narrow" w:eastAsia="Arial Narrow" w:cs="Arial Narrow"/>
          </w:rPr>
          <w:t>Trust Center</w:t>
        </w:r>
      </w:hyperlink>
      <w:r w:rsidRPr="008671CC">
        <w:rPr>
          <w:rFonts w:ascii="Arial Narrow" w:hAnsi="Arial Narrow" w:eastAsia="Arial Narrow" w:cs="Arial Narrow"/>
          <w:color w:val="000000" w:themeColor="text1"/>
        </w:rPr>
        <w:t> page</w:t>
      </w:r>
    </w:p>
    <w:p w:rsidRPr="008671CC" w:rsidR="008671CC" w:rsidP="008671CC" w:rsidRDefault="008671CC" w14:paraId="205F3ECA" w14:textId="77777777">
      <w:pPr>
        <w:numPr>
          <w:ilvl w:val="0"/>
          <w:numId w:val="3"/>
        </w:numPr>
        <w:contextualSpacing/>
        <w:rPr>
          <w:rFonts w:ascii="Arial Narrow" w:hAnsi="Arial Narrow" w:eastAsia="Arial Narrow" w:cs="Arial Narrow"/>
          <w:color w:val="000000" w:themeColor="text1"/>
        </w:rPr>
      </w:pPr>
      <w:r w:rsidRPr="008671CC">
        <w:rPr>
          <w:rFonts w:ascii="Arial Narrow" w:hAnsi="Arial Narrow" w:eastAsia="Arial Narrow" w:cs="Arial Narrow"/>
          <w:color w:val="000000" w:themeColor="text1"/>
        </w:rPr>
        <w:t>Click "</w:t>
      </w:r>
      <w:r w:rsidRPr="008671CC">
        <w:rPr>
          <w:rFonts w:ascii="Arial Narrow" w:hAnsi="Arial Narrow" w:eastAsia="Arial Narrow" w:cs="Arial Narrow"/>
          <w:b/>
          <w:bCs/>
          <w:color w:val="000000" w:themeColor="text1"/>
        </w:rPr>
        <w:t>Request</w:t>
      </w:r>
      <w:r w:rsidRPr="008671CC">
        <w:rPr>
          <w:rFonts w:ascii="Arial Narrow" w:hAnsi="Arial Narrow" w:eastAsia="Arial Narrow" w:cs="Arial Narrow"/>
          <w:color w:val="000000" w:themeColor="text1"/>
        </w:rPr>
        <w:t xml:space="preserve">" button next to SOC2 Type2 </w:t>
      </w:r>
      <w:r w:rsidRPr="008671CC">
        <w:rPr>
          <w:rFonts w:ascii="Arial Narrow" w:hAnsi="Arial Narrow" w:eastAsia="Arial Narrow" w:cs="Arial Narrow"/>
          <w:i/>
          <w:iCs/>
          <w:color w:val="000000" w:themeColor="text1"/>
          <w:u w:val="single"/>
        </w:rPr>
        <w:t>or</w:t>
      </w:r>
      <w:r w:rsidRPr="008671CC">
        <w:rPr>
          <w:rFonts w:ascii="Arial Narrow" w:hAnsi="Arial Narrow" w:eastAsia="Arial Narrow" w:cs="Arial Narrow"/>
          <w:color w:val="000000" w:themeColor="text1"/>
        </w:rPr>
        <w:t> simply click "</w:t>
      </w:r>
      <w:r w:rsidRPr="008671CC">
        <w:rPr>
          <w:rFonts w:ascii="Arial Narrow" w:hAnsi="Arial Narrow" w:eastAsia="Arial Narrow" w:cs="Arial Narrow"/>
          <w:b/>
          <w:bCs/>
          <w:color w:val="000000" w:themeColor="text1"/>
        </w:rPr>
        <w:t>Request all documents</w:t>
      </w:r>
      <w:r w:rsidRPr="008671CC">
        <w:rPr>
          <w:rFonts w:ascii="Arial Narrow" w:hAnsi="Arial Narrow" w:eastAsia="Arial Narrow" w:cs="Arial Narrow"/>
          <w:color w:val="000000" w:themeColor="text1"/>
        </w:rPr>
        <w:t>" button</w:t>
      </w:r>
    </w:p>
    <w:p w:rsidRPr="008671CC" w:rsidR="008671CC" w:rsidP="008671CC" w:rsidRDefault="008671CC" w14:paraId="00F8865B" w14:textId="77777777">
      <w:pPr>
        <w:numPr>
          <w:ilvl w:val="0"/>
          <w:numId w:val="3"/>
        </w:numPr>
        <w:contextualSpacing/>
        <w:rPr>
          <w:rFonts w:ascii="Arial Narrow" w:hAnsi="Arial Narrow" w:eastAsia="Arial Narrow" w:cs="Arial Narrow"/>
          <w:color w:val="000000" w:themeColor="text1"/>
        </w:rPr>
      </w:pPr>
      <w:r w:rsidRPr="008671CC">
        <w:rPr>
          <w:rFonts w:ascii="Arial Narrow" w:hAnsi="Arial Narrow" w:eastAsia="Arial Narrow" w:cs="Arial Narrow"/>
          <w:color w:val="000000" w:themeColor="text1"/>
        </w:rPr>
        <w:t>Complete the form with your name, work email, etc. and click "</w:t>
      </w:r>
      <w:r w:rsidRPr="008671CC">
        <w:rPr>
          <w:rFonts w:ascii="Arial Narrow" w:hAnsi="Arial Narrow" w:eastAsia="Arial Narrow" w:cs="Arial Narrow"/>
          <w:b/>
          <w:bCs/>
          <w:color w:val="000000" w:themeColor="text1"/>
        </w:rPr>
        <w:t>Submit request</w:t>
      </w:r>
      <w:r w:rsidRPr="008671CC">
        <w:rPr>
          <w:rFonts w:ascii="Arial Narrow" w:hAnsi="Arial Narrow" w:eastAsia="Arial Narrow" w:cs="Arial Narrow"/>
          <w:color w:val="000000" w:themeColor="text1"/>
        </w:rPr>
        <w:t>"</w:t>
      </w:r>
    </w:p>
    <w:p w:rsidRPr="008671CC" w:rsidR="008671CC" w:rsidP="008671CC" w:rsidRDefault="008671CC" w14:paraId="594702A9" w14:textId="77777777">
      <w:pPr>
        <w:numPr>
          <w:ilvl w:val="0"/>
          <w:numId w:val="3"/>
        </w:numPr>
        <w:contextualSpacing/>
        <w:rPr>
          <w:rFonts w:ascii="Arial Narrow" w:hAnsi="Arial Narrow" w:eastAsia="Arial Narrow" w:cs="Arial Narrow"/>
          <w:color w:val="000000" w:themeColor="text1"/>
        </w:rPr>
      </w:pPr>
      <w:r w:rsidRPr="008671CC">
        <w:rPr>
          <w:rFonts w:ascii="Arial Narrow" w:hAnsi="Arial Narrow" w:eastAsia="Arial Narrow" w:cs="Arial Narrow"/>
          <w:color w:val="000000" w:themeColor="text1"/>
        </w:rPr>
        <w:t>When the form is submitted a confirmation email is sent to the email address used in the form, as well as to Finch's security team.</w:t>
      </w:r>
    </w:p>
    <w:p w:rsidRPr="008671CC" w:rsidR="008671CC" w:rsidP="008671CC" w:rsidRDefault="008671CC" w14:paraId="143DF0AE" w14:textId="5952CFFC">
      <w:pPr>
        <w:numPr>
          <w:ilvl w:val="0"/>
          <w:numId w:val="3"/>
        </w:numPr>
        <w:contextualSpacing/>
        <w:rPr>
          <w:rFonts w:ascii="Arial Narrow" w:hAnsi="Arial Narrow" w:eastAsia="Arial Narrow" w:cs="Arial Narrow"/>
          <w:color w:val="000000" w:themeColor="text1"/>
        </w:rPr>
      </w:pPr>
      <w:r w:rsidRPr="008671CC">
        <w:rPr>
          <w:rFonts w:ascii="Arial Narrow" w:hAnsi="Arial Narrow" w:eastAsia="Arial Narrow" w:cs="Arial Narrow"/>
          <w:color w:val="000000" w:themeColor="text1"/>
        </w:rPr>
        <w:t>Finch's security team reviews and approves the request. These requests are always processed within ~1 day, but if a request comes in during business hours then it's usually approved within a few minutes.</w:t>
      </w:r>
    </w:p>
    <w:p w:rsidRPr="008671CC" w:rsidR="008671CC" w:rsidP="008671CC" w:rsidRDefault="008671CC" w14:paraId="2746F5A4" w14:textId="77777777">
      <w:pPr>
        <w:numPr>
          <w:ilvl w:val="0"/>
          <w:numId w:val="3"/>
        </w:numPr>
        <w:contextualSpacing/>
        <w:rPr>
          <w:rFonts w:ascii="Arial Narrow" w:hAnsi="Arial Narrow" w:eastAsia="Arial Narrow" w:cs="Arial Narrow"/>
          <w:color w:val="000000" w:themeColor="text1"/>
        </w:rPr>
      </w:pPr>
      <w:r w:rsidRPr="008671CC">
        <w:rPr>
          <w:rFonts w:ascii="Arial Narrow" w:hAnsi="Arial Narrow" w:eastAsia="Arial Narrow" w:cs="Arial Narrow"/>
          <w:color w:val="000000" w:themeColor="text1"/>
        </w:rPr>
        <w:t>Immediately upon approval, a second email is sent to the email address used in the form with a link to download the requested documents.</w:t>
      </w:r>
    </w:p>
    <w:p w:rsidRPr="008671CC" w:rsidR="008671CC" w:rsidP="008671CC" w:rsidRDefault="008671CC" w14:paraId="684A516B" w14:textId="77777777">
      <w:pPr>
        <w:contextualSpacing/>
        <w:rPr>
          <w:rFonts w:ascii="Arial Narrow" w:hAnsi="Arial Narrow" w:eastAsia="Arial Narrow" w:cs="Arial Narrow"/>
          <w:color w:val="000000" w:themeColor="text1"/>
        </w:rPr>
      </w:pPr>
    </w:p>
    <w:p w:rsidR="00B23D0E" w:rsidP="0750C133" w:rsidRDefault="00B23D0E" w14:paraId="791FBB96" w14:textId="77777777">
      <w:pPr>
        <w:contextualSpacing/>
        <w:rPr>
          <w:rFonts w:ascii="Arial Narrow" w:hAnsi="Arial Narrow" w:eastAsia="Arial Narrow" w:cs="Arial Narrow"/>
          <w:color w:val="000000" w:themeColor="text1"/>
        </w:rPr>
      </w:pPr>
    </w:p>
    <w:sectPr w:rsidR="00B23D0E" w:rsidSect="00A22059">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209C" w:rsidP="00F330B7" w:rsidRDefault="0009209C" w14:paraId="2EB07CA9" w14:textId="77777777">
      <w:pPr>
        <w:spacing w:after="0" w:line="240" w:lineRule="auto"/>
      </w:pPr>
      <w:r>
        <w:separator/>
      </w:r>
    </w:p>
  </w:endnote>
  <w:endnote w:type="continuationSeparator" w:id="0">
    <w:p w:rsidR="0009209C" w:rsidP="00F330B7" w:rsidRDefault="0009209C" w14:paraId="18022407" w14:textId="77777777">
      <w:pPr>
        <w:spacing w:after="0" w:line="240" w:lineRule="auto"/>
      </w:pPr>
      <w:r>
        <w:continuationSeparator/>
      </w:r>
    </w:p>
  </w:endnote>
  <w:endnote w:type="continuationNotice" w:id="1">
    <w:p w:rsidR="0009209C" w:rsidRDefault="0009209C" w14:paraId="44F3C84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Times New Roman">
    <w:altName w:val="Arial Narrow"/>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Narrow">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209C" w:rsidP="00F330B7" w:rsidRDefault="0009209C" w14:paraId="418E239E" w14:textId="77777777">
      <w:pPr>
        <w:spacing w:after="0" w:line="240" w:lineRule="auto"/>
      </w:pPr>
      <w:r>
        <w:separator/>
      </w:r>
    </w:p>
  </w:footnote>
  <w:footnote w:type="continuationSeparator" w:id="0">
    <w:p w:rsidR="0009209C" w:rsidP="00F330B7" w:rsidRDefault="0009209C" w14:paraId="6873C03A" w14:textId="77777777">
      <w:pPr>
        <w:spacing w:after="0" w:line="240" w:lineRule="auto"/>
      </w:pPr>
      <w:r>
        <w:continuationSeparator/>
      </w:r>
    </w:p>
  </w:footnote>
  <w:footnote w:type="continuationNotice" w:id="1">
    <w:p w:rsidR="0009209C" w:rsidRDefault="0009209C" w14:paraId="5FCF73E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6EE4E"/>
    <w:multiLevelType w:val="hybridMultilevel"/>
    <w:tmpl w:val="AFD886D4"/>
    <w:lvl w:ilvl="0" w:tplc="E0E8AAB2">
      <w:start w:val="1"/>
      <w:numFmt w:val="decimal"/>
      <w:lvlText w:val="%1."/>
      <w:lvlJc w:val="left"/>
      <w:pPr>
        <w:ind w:left="720" w:hanging="360"/>
      </w:pPr>
      <w:rPr>
        <w:rFonts w:hint="default" w:ascii="Arial Narrow,Times New Roman" w:hAnsi="Arial Narrow,Times New Roman"/>
      </w:rPr>
    </w:lvl>
    <w:lvl w:ilvl="1" w:tplc="E5DCCBB8">
      <w:start w:val="1"/>
      <w:numFmt w:val="lowerLetter"/>
      <w:lvlText w:val="%2."/>
      <w:lvlJc w:val="left"/>
      <w:pPr>
        <w:ind w:left="1440" w:hanging="360"/>
      </w:pPr>
    </w:lvl>
    <w:lvl w:ilvl="2" w:tplc="E20ED78A">
      <w:start w:val="1"/>
      <w:numFmt w:val="lowerRoman"/>
      <w:lvlText w:val="%3."/>
      <w:lvlJc w:val="right"/>
      <w:pPr>
        <w:ind w:left="2160" w:hanging="180"/>
      </w:pPr>
    </w:lvl>
    <w:lvl w:ilvl="3" w:tplc="4BFC51D0">
      <w:start w:val="1"/>
      <w:numFmt w:val="decimal"/>
      <w:lvlText w:val="%4."/>
      <w:lvlJc w:val="left"/>
      <w:pPr>
        <w:ind w:left="2880" w:hanging="360"/>
      </w:pPr>
    </w:lvl>
    <w:lvl w:ilvl="4" w:tplc="11565450">
      <w:start w:val="1"/>
      <w:numFmt w:val="lowerLetter"/>
      <w:lvlText w:val="%5."/>
      <w:lvlJc w:val="left"/>
      <w:pPr>
        <w:ind w:left="3600" w:hanging="360"/>
      </w:pPr>
    </w:lvl>
    <w:lvl w:ilvl="5" w:tplc="F2F66BC8">
      <w:start w:val="1"/>
      <w:numFmt w:val="lowerRoman"/>
      <w:lvlText w:val="%6."/>
      <w:lvlJc w:val="right"/>
      <w:pPr>
        <w:ind w:left="4320" w:hanging="180"/>
      </w:pPr>
    </w:lvl>
    <w:lvl w:ilvl="6" w:tplc="6CBC0B8A">
      <w:start w:val="1"/>
      <w:numFmt w:val="decimal"/>
      <w:lvlText w:val="%7."/>
      <w:lvlJc w:val="left"/>
      <w:pPr>
        <w:ind w:left="5040" w:hanging="360"/>
      </w:pPr>
    </w:lvl>
    <w:lvl w:ilvl="7" w:tplc="1B70E640">
      <w:start w:val="1"/>
      <w:numFmt w:val="lowerLetter"/>
      <w:lvlText w:val="%8."/>
      <w:lvlJc w:val="left"/>
      <w:pPr>
        <w:ind w:left="5760" w:hanging="360"/>
      </w:pPr>
    </w:lvl>
    <w:lvl w:ilvl="8" w:tplc="CE961102">
      <w:start w:val="1"/>
      <w:numFmt w:val="lowerRoman"/>
      <w:lvlText w:val="%9."/>
      <w:lvlJc w:val="right"/>
      <w:pPr>
        <w:ind w:left="6480" w:hanging="180"/>
      </w:pPr>
    </w:lvl>
  </w:abstractNum>
  <w:abstractNum w:abstractNumId="1" w15:restartNumberingAfterBreak="0">
    <w:nsid w:val="642B2233"/>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75C1323C"/>
    <w:multiLevelType w:val="hybridMultilevel"/>
    <w:tmpl w:val="D722E1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12622424">
    <w:abstractNumId w:val="0"/>
  </w:num>
  <w:num w:numId="2" w16cid:durableId="1494955547">
    <w:abstractNumId w:val="2"/>
  </w:num>
  <w:num w:numId="3" w16cid:durableId="1482695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59"/>
    <w:rsid w:val="00024A3B"/>
    <w:rsid w:val="0003415E"/>
    <w:rsid w:val="000355A3"/>
    <w:rsid w:val="000672DC"/>
    <w:rsid w:val="00083988"/>
    <w:rsid w:val="00087E40"/>
    <w:rsid w:val="0009209C"/>
    <w:rsid w:val="000B0452"/>
    <w:rsid w:val="000B624A"/>
    <w:rsid w:val="000D2763"/>
    <w:rsid w:val="00107794"/>
    <w:rsid w:val="00142568"/>
    <w:rsid w:val="00182E8F"/>
    <w:rsid w:val="001835D7"/>
    <w:rsid w:val="001A413F"/>
    <w:rsid w:val="001BFF75"/>
    <w:rsid w:val="0028443E"/>
    <w:rsid w:val="002C50F0"/>
    <w:rsid w:val="00302043"/>
    <w:rsid w:val="00322E8E"/>
    <w:rsid w:val="003336E2"/>
    <w:rsid w:val="00343611"/>
    <w:rsid w:val="00351BDA"/>
    <w:rsid w:val="003B2FE7"/>
    <w:rsid w:val="003D37C9"/>
    <w:rsid w:val="003F4B63"/>
    <w:rsid w:val="004014CA"/>
    <w:rsid w:val="00401CCB"/>
    <w:rsid w:val="004114BD"/>
    <w:rsid w:val="00425B46"/>
    <w:rsid w:val="00426EB3"/>
    <w:rsid w:val="00446905"/>
    <w:rsid w:val="00453196"/>
    <w:rsid w:val="0046030C"/>
    <w:rsid w:val="004A4B2F"/>
    <w:rsid w:val="004B1DEF"/>
    <w:rsid w:val="004C6FE7"/>
    <w:rsid w:val="005118D2"/>
    <w:rsid w:val="005160BC"/>
    <w:rsid w:val="00533808"/>
    <w:rsid w:val="00541101"/>
    <w:rsid w:val="00561D38"/>
    <w:rsid w:val="00572D1B"/>
    <w:rsid w:val="00574796"/>
    <w:rsid w:val="005A66D5"/>
    <w:rsid w:val="005B1E14"/>
    <w:rsid w:val="005C58B4"/>
    <w:rsid w:val="005D2FE4"/>
    <w:rsid w:val="005D4159"/>
    <w:rsid w:val="005F5ADE"/>
    <w:rsid w:val="005F6F44"/>
    <w:rsid w:val="00606C00"/>
    <w:rsid w:val="00624CBD"/>
    <w:rsid w:val="00626B7C"/>
    <w:rsid w:val="006376C5"/>
    <w:rsid w:val="00684A52"/>
    <w:rsid w:val="00686825"/>
    <w:rsid w:val="006878A7"/>
    <w:rsid w:val="006A5114"/>
    <w:rsid w:val="0070748B"/>
    <w:rsid w:val="007631FA"/>
    <w:rsid w:val="00786B50"/>
    <w:rsid w:val="007A4059"/>
    <w:rsid w:val="007C6C0F"/>
    <w:rsid w:val="007C72AB"/>
    <w:rsid w:val="007E1D49"/>
    <w:rsid w:val="007F1272"/>
    <w:rsid w:val="00813FB0"/>
    <w:rsid w:val="00816A77"/>
    <w:rsid w:val="00824779"/>
    <w:rsid w:val="00850BC3"/>
    <w:rsid w:val="008671CC"/>
    <w:rsid w:val="008726F4"/>
    <w:rsid w:val="00881BDE"/>
    <w:rsid w:val="008824A8"/>
    <w:rsid w:val="0088334F"/>
    <w:rsid w:val="008B39AA"/>
    <w:rsid w:val="008E0D8A"/>
    <w:rsid w:val="008E2BE5"/>
    <w:rsid w:val="008E46EC"/>
    <w:rsid w:val="00900788"/>
    <w:rsid w:val="00913779"/>
    <w:rsid w:val="00921D74"/>
    <w:rsid w:val="009B26D7"/>
    <w:rsid w:val="009C4807"/>
    <w:rsid w:val="009E6227"/>
    <w:rsid w:val="00A17912"/>
    <w:rsid w:val="00A22059"/>
    <w:rsid w:val="00A5625E"/>
    <w:rsid w:val="00A60CA5"/>
    <w:rsid w:val="00A6348E"/>
    <w:rsid w:val="00A74C70"/>
    <w:rsid w:val="00A76C86"/>
    <w:rsid w:val="00A916ED"/>
    <w:rsid w:val="00AB2630"/>
    <w:rsid w:val="00AD18AE"/>
    <w:rsid w:val="00B12E80"/>
    <w:rsid w:val="00B23D0E"/>
    <w:rsid w:val="00B81173"/>
    <w:rsid w:val="00BB2964"/>
    <w:rsid w:val="00BC6C77"/>
    <w:rsid w:val="00BD1AC4"/>
    <w:rsid w:val="00BD5CCD"/>
    <w:rsid w:val="00C0526A"/>
    <w:rsid w:val="00C07B42"/>
    <w:rsid w:val="00C14725"/>
    <w:rsid w:val="00C4004B"/>
    <w:rsid w:val="00C421E2"/>
    <w:rsid w:val="00C82722"/>
    <w:rsid w:val="00C86065"/>
    <w:rsid w:val="00C904E6"/>
    <w:rsid w:val="00C914F3"/>
    <w:rsid w:val="00C95F58"/>
    <w:rsid w:val="00CA53A8"/>
    <w:rsid w:val="00CD18D9"/>
    <w:rsid w:val="00CF0F8E"/>
    <w:rsid w:val="00CF0FCF"/>
    <w:rsid w:val="00D21862"/>
    <w:rsid w:val="00D24C01"/>
    <w:rsid w:val="00D6480F"/>
    <w:rsid w:val="00DA45DB"/>
    <w:rsid w:val="00DE2A19"/>
    <w:rsid w:val="00E03F47"/>
    <w:rsid w:val="00E13C33"/>
    <w:rsid w:val="00E327CC"/>
    <w:rsid w:val="00E84D16"/>
    <w:rsid w:val="00EA3144"/>
    <w:rsid w:val="00EA5A65"/>
    <w:rsid w:val="00EE3A00"/>
    <w:rsid w:val="00F11702"/>
    <w:rsid w:val="00F262DC"/>
    <w:rsid w:val="00F269D6"/>
    <w:rsid w:val="00F330B7"/>
    <w:rsid w:val="00FA4C2D"/>
    <w:rsid w:val="00FA7DB1"/>
    <w:rsid w:val="00FC526C"/>
    <w:rsid w:val="00FE02CF"/>
    <w:rsid w:val="0750C133"/>
    <w:rsid w:val="086100EB"/>
    <w:rsid w:val="09B622D7"/>
    <w:rsid w:val="09C3EE47"/>
    <w:rsid w:val="13155557"/>
    <w:rsid w:val="13B12CEF"/>
    <w:rsid w:val="17120D2C"/>
    <w:rsid w:val="17BBCEB2"/>
    <w:rsid w:val="1BFA3B7D"/>
    <w:rsid w:val="1EAB67EB"/>
    <w:rsid w:val="1EE29AD8"/>
    <w:rsid w:val="2390F07B"/>
    <w:rsid w:val="27D18D0E"/>
    <w:rsid w:val="2994A3E5"/>
    <w:rsid w:val="2AB664E7"/>
    <w:rsid w:val="2D4E00D9"/>
    <w:rsid w:val="2F7797C1"/>
    <w:rsid w:val="31FDB957"/>
    <w:rsid w:val="32D9D042"/>
    <w:rsid w:val="335AC063"/>
    <w:rsid w:val="378BE984"/>
    <w:rsid w:val="3A8B7FA5"/>
    <w:rsid w:val="3B8D9F72"/>
    <w:rsid w:val="3FA2094E"/>
    <w:rsid w:val="4322A829"/>
    <w:rsid w:val="43E3CCDF"/>
    <w:rsid w:val="443774AA"/>
    <w:rsid w:val="46268719"/>
    <w:rsid w:val="48BFFB9C"/>
    <w:rsid w:val="4B09F1FD"/>
    <w:rsid w:val="524D6B76"/>
    <w:rsid w:val="52D733C9"/>
    <w:rsid w:val="537694D4"/>
    <w:rsid w:val="55F77E3B"/>
    <w:rsid w:val="56782B62"/>
    <w:rsid w:val="59D2CC01"/>
    <w:rsid w:val="5A0D481D"/>
    <w:rsid w:val="5D3815BA"/>
    <w:rsid w:val="5D9ED5D1"/>
    <w:rsid w:val="5EA08C5F"/>
    <w:rsid w:val="6159DBBA"/>
    <w:rsid w:val="61C96365"/>
    <w:rsid w:val="6D0172DE"/>
    <w:rsid w:val="6D4D1F28"/>
    <w:rsid w:val="6F6871E1"/>
    <w:rsid w:val="73A85AA7"/>
    <w:rsid w:val="79F56425"/>
    <w:rsid w:val="7D408012"/>
    <w:rsid w:val="7F3D6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E4A2A"/>
  <w15:chartTrackingRefBased/>
  <w15:docId w15:val="{A68232EF-905A-4207-A4D5-39FC5615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205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05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0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0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0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05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205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2205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2205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2205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2205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2205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2205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2205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22059"/>
    <w:rPr>
      <w:rFonts w:eastAsiaTheme="majorEastAsia" w:cstheme="majorBidi"/>
      <w:color w:val="272727" w:themeColor="text1" w:themeTint="D8"/>
    </w:rPr>
  </w:style>
  <w:style w:type="paragraph" w:styleId="Title">
    <w:name w:val="Title"/>
    <w:basedOn w:val="Normal"/>
    <w:next w:val="Normal"/>
    <w:link w:val="TitleChar"/>
    <w:uiPriority w:val="10"/>
    <w:qFormat/>
    <w:rsid w:val="00A2205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2205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2205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22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059"/>
    <w:pPr>
      <w:spacing w:before="160"/>
      <w:jc w:val="center"/>
    </w:pPr>
    <w:rPr>
      <w:i/>
      <w:iCs/>
      <w:color w:val="404040" w:themeColor="text1" w:themeTint="BF"/>
    </w:rPr>
  </w:style>
  <w:style w:type="character" w:styleId="QuoteChar" w:customStyle="1">
    <w:name w:val="Quote Char"/>
    <w:basedOn w:val="DefaultParagraphFont"/>
    <w:link w:val="Quote"/>
    <w:uiPriority w:val="29"/>
    <w:rsid w:val="00A22059"/>
    <w:rPr>
      <w:i/>
      <w:iCs/>
      <w:color w:val="404040" w:themeColor="text1" w:themeTint="BF"/>
    </w:rPr>
  </w:style>
  <w:style w:type="paragraph" w:styleId="ListParagraph">
    <w:name w:val="List Paragraph"/>
    <w:basedOn w:val="Normal"/>
    <w:uiPriority w:val="34"/>
    <w:qFormat/>
    <w:rsid w:val="00A22059"/>
    <w:pPr>
      <w:ind w:left="720"/>
      <w:contextualSpacing/>
    </w:pPr>
  </w:style>
  <w:style w:type="character" w:styleId="IntenseEmphasis">
    <w:name w:val="Intense Emphasis"/>
    <w:basedOn w:val="DefaultParagraphFont"/>
    <w:uiPriority w:val="21"/>
    <w:qFormat/>
    <w:rsid w:val="00A22059"/>
    <w:rPr>
      <w:i/>
      <w:iCs/>
      <w:color w:val="0F4761" w:themeColor="accent1" w:themeShade="BF"/>
    </w:rPr>
  </w:style>
  <w:style w:type="paragraph" w:styleId="IntenseQuote">
    <w:name w:val="Intense Quote"/>
    <w:basedOn w:val="Normal"/>
    <w:next w:val="Normal"/>
    <w:link w:val="IntenseQuoteChar"/>
    <w:uiPriority w:val="30"/>
    <w:qFormat/>
    <w:rsid w:val="00A2205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22059"/>
    <w:rPr>
      <w:i/>
      <w:iCs/>
      <w:color w:val="0F4761" w:themeColor="accent1" w:themeShade="BF"/>
    </w:rPr>
  </w:style>
  <w:style w:type="character" w:styleId="IntenseReference">
    <w:name w:val="Intense Reference"/>
    <w:basedOn w:val="DefaultParagraphFont"/>
    <w:uiPriority w:val="32"/>
    <w:qFormat/>
    <w:rsid w:val="00A22059"/>
    <w:rPr>
      <w:b/>
      <w:bCs/>
      <w:smallCaps/>
      <w:color w:val="0F4761" w:themeColor="accent1" w:themeShade="BF"/>
      <w:spacing w:val="5"/>
    </w:rPr>
  </w:style>
  <w:style w:type="character" w:styleId="Hyperlink">
    <w:name w:val="Hyperlink"/>
    <w:basedOn w:val="DefaultParagraphFont"/>
    <w:uiPriority w:val="99"/>
    <w:unhideWhenUsed/>
    <w:rsid w:val="00574796"/>
    <w:rPr>
      <w:color w:val="467886" w:themeColor="hyperlink"/>
      <w:u w:val="single"/>
    </w:rPr>
  </w:style>
  <w:style w:type="paragraph" w:styleId="Header">
    <w:name w:val="header"/>
    <w:basedOn w:val="Normal"/>
    <w:link w:val="HeaderChar"/>
    <w:uiPriority w:val="99"/>
    <w:semiHidden/>
    <w:unhideWhenUsed/>
    <w:rsid w:val="009E622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9E6227"/>
  </w:style>
  <w:style w:type="paragraph" w:styleId="Footer">
    <w:name w:val="footer"/>
    <w:basedOn w:val="Normal"/>
    <w:link w:val="FooterChar"/>
    <w:uiPriority w:val="99"/>
    <w:semiHidden/>
    <w:unhideWhenUsed/>
    <w:rsid w:val="009E6227"/>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9E6227"/>
  </w:style>
  <w:style w:type="character" w:styleId="UnresolvedMention">
    <w:name w:val="Unresolved Mention"/>
    <w:basedOn w:val="DefaultParagraphFont"/>
    <w:uiPriority w:val="99"/>
    <w:semiHidden/>
    <w:unhideWhenUsed/>
    <w:rsid w:val="00867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yperlink" Target="https://urldefense.proofpoint.com/v2/url?u=https-3A__finch.secureframetrust.com_&amp;d=DwMFaQ&amp;c=euGZstcaTDllvimEN8b7jXrwqOf-v5A_CdpgnVfiiMM&amp;r=VFtfx_U_MK77rz8Vlx0Gffq0picph8RWzLKMLVcuER4&amp;m=ak_2QjlOQ7EvH_Jhu2dl518mAXvYiddtFIC_gY7SbdoV0xy1uHuW9-EkLWZ-Jvkr&amp;s=AcnZu1qmpy4Onaf9UVXb9NGHzxx-qwfkHR3958Qcozk&amp;e=" TargetMode="Externa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novalink.nova401k.com/login.php"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9312bc2-5126-4d89-90b2-5082efc0ae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263DDD9A77B540BDAE7812508641D4" ma:contentTypeVersion="17" ma:contentTypeDescription="Create a new document." ma:contentTypeScope="" ma:versionID="900f22ce2a49ef4b2f0258491111f838">
  <xsd:schema xmlns:xsd="http://www.w3.org/2001/XMLSchema" xmlns:xs="http://www.w3.org/2001/XMLSchema" xmlns:p="http://schemas.microsoft.com/office/2006/metadata/properties" xmlns:ns3="89312bc2-5126-4d89-90b2-5082efc0ae05" xmlns:ns4="ae89c90b-b59c-4c84-a7c2-ed5a70b6108d" targetNamespace="http://schemas.microsoft.com/office/2006/metadata/properties" ma:root="true" ma:fieldsID="49981512b76f7063ef3cd37ed095d2e5" ns3:_="" ns4:_="">
    <xsd:import namespace="89312bc2-5126-4d89-90b2-5082efc0ae05"/>
    <xsd:import namespace="ae89c90b-b59c-4c84-a7c2-ed5a70b610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12bc2-5126-4d89-90b2-5082efc0a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9c90b-b59c-4c84-a7c2-ed5a70b610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DD815-9A10-443E-9FA8-98939EB006A4}">
  <ds:schemaRefs>
    <ds:schemaRef ds:uri="http://schemas.microsoft.com/sharepoint/v3/contenttype/forms"/>
  </ds:schemaRefs>
</ds:datastoreItem>
</file>

<file path=customXml/itemProps2.xml><?xml version="1.0" encoding="utf-8"?>
<ds:datastoreItem xmlns:ds="http://schemas.openxmlformats.org/officeDocument/2006/customXml" ds:itemID="{72DE8D44-86D7-4558-8468-56753F0EFB10}">
  <ds:schemaRefs>
    <ds:schemaRef ds:uri="http://schemas.microsoft.com/office/2006/metadata/properties"/>
    <ds:schemaRef ds:uri="http://schemas.microsoft.com/office/infopath/2007/PartnerControls"/>
    <ds:schemaRef ds:uri="89312bc2-5126-4d89-90b2-5082efc0ae05"/>
  </ds:schemaRefs>
</ds:datastoreItem>
</file>

<file path=customXml/itemProps3.xml><?xml version="1.0" encoding="utf-8"?>
<ds:datastoreItem xmlns:ds="http://schemas.openxmlformats.org/officeDocument/2006/customXml" ds:itemID="{E404F7AF-B73D-4ABE-B005-FB2EE17D7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12bc2-5126-4d89-90b2-5082efc0ae05"/>
    <ds:schemaRef ds:uri="ae89c90b-b59c-4c84-a7c2-ed5a70b61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Degenhart</dc:creator>
  <keywords/>
  <dc:description/>
  <lastModifiedBy>Karen Degenhart</lastModifiedBy>
  <revision>74</revision>
  <dcterms:created xsi:type="dcterms:W3CDTF">2024-08-28T06:19:00.0000000Z</dcterms:created>
  <dcterms:modified xsi:type="dcterms:W3CDTF">2024-12-30T19:50:26.3133500Z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0x010100C5263DDD9A77B540BDAE7812508641D4</vt:lpwstr>
  </property>
</Properties>
</file>